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553" w:rsidRDefault="00775553" w:rsidP="00775553"/>
    <w:p w:rsidR="00775553" w:rsidRDefault="00775553" w:rsidP="00775553"/>
    <w:p w:rsidR="00D76A18" w:rsidRDefault="00D76A18" w:rsidP="00D76A18">
      <w:r>
        <w:t>Project #2</w:t>
      </w:r>
    </w:p>
    <w:p w:rsidR="00D76A18" w:rsidRDefault="00D76A18" w:rsidP="00D76A18">
      <w:r>
        <w:t>STAT 875</w:t>
      </w:r>
    </w:p>
    <w:p w:rsidR="00D76A18" w:rsidRDefault="00D76A18" w:rsidP="00D76A18">
      <w:r>
        <w:t>Spring 2014</w:t>
      </w:r>
    </w:p>
    <w:p w:rsidR="00D76A18" w:rsidRDefault="00D76A18" w:rsidP="00D76A18"/>
    <w:p w:rsidR="00D76A18" w:rsidRDefault="00D76A18" w:rsidP="00D76A18"/>
    <w:p w:rsidR="00D76A18" w:rsidRDefault="00D76A18" w:rsidP="00D76A18">
      <w:r>
        <w:t xml:space="preserve">Complete the following problems below. Within each part, include your R program output with code inside of it and any additional information needed to explain your answer. Your R code and output should be formatted in the same manner as in the lecture notes. </w:t>
      </w:r>
    </w:p>
    <w:p w:rsidR="00D76A18" w:rsidRDefault="00D76A18" w:rsidP="00D76A18">
      <w:r>
        <w:t xml:space="preserve">  </w:t>
      </w:r>
    </w:p>
    <w:p w:rsidR="00C6571A" w:rsidRDefault="00D76A18" w:rsidP="002D7120">
      <w:pPr>
        <w:numPr>
          <w:ilvl w:val="0"/>
          <w:numId w:val="5"/>
        </w:numPr>
      </w:pPr>
      <w:r w:rsidRPr="008D78FB">
        <w:t>(2</w:t>
      </w:r>
      <w:r w:rsidR="008D78FB" w:rsidRPr="008D78FB">
        <w:t>3</w:t>
      </w:r>
      <w:r w:rsidRPr="008D78FB">
        <w:t xml:space="preserve"> total points) </w:t>
      </w:r>
      <w:r w:rsidR="00473EF9" w:rsidRPr="008D78FB">
        <w:t xml:space="preserve">The results </w:t>
      </w:r>
      <w:r w:rsidR="007D42E4" w:rsidRPr="008D78FB">
        <w:t>of</w:t>
      </w:r>
      <w:r w:rsidR="00473EF9" w:rsidRPr="008D78FB">
        <w:t xml:space="preserve"> </w:t>
      </w:r>
      <w:proofErr w:type="spellStart"/>
      <w:r w:rsidR="00473EF9" w:rsidRPr="008D78FB">
        <w:t>Rerks-Ngram</w:t>
      </w:r>
      <w:proofErr w:type="spellEnd"/>
      <w:r w:rsidR="00473EF9" w:rsidRPr="008D78FB">
        <w:t xml:space="preserve"> et al. (</w:t>
      </w:r>
      <w:r w:rsidR="00473EF9" w:rsidRPr="008D78FB">
        <w:rPr>
          <w:i/>
        </w:rPr>
        <w:t>New England Journal of Medicine</w:t>
      </w:r>
      <w:r w:rsidR="00473EF9" w:rsidRPr="008D78FB">
        <w:t>, 2009, volume</w:t>
      </w:r>
      <w:r w:rsidR="00473EF9">
        <w:t xml:space="preserve"> 361, p. </w:t>
      </w:r>
      <w:r w:rsidR="00473EF9" w:rsidRPr="00CD290E">
        <w:t>2209-2220</w:t>
      </w:r>
      <w:r w:rsidR="00473EF9">
        <w:t xml:space="preserve">) gave new hope </w:t>
      </w:r>
      <w:r w:rsidR="007D42E4">
        <w:t xml:space="preserve">for </w:t>
      </w:r>
      <w:r w:rsidR="00473EF9">
        <w:t xml:space="preserve">finding a HIV vaccine. </w:t>
      </w:r>
      <w:r w:rsidR="00F94C3A">
        <w:t>This paper lead to expanding the</w:t>
      </w:r>
      <w:r w:rsidR="002D7120">
        <w:t xml:space="preserve"> efforts of another HIV vaccine clinical trial, known as </w:t>
      </w:r>
      <w:r w:rsidR="002D7120" w:rsidRPr="002D7120">
        <w:t>HVTN 505</w:t>
      </w:r>
      <w:r w:rsidR="002D7120">
        <w:t xml:space="preserve">. </w:t>
      </w:r>
      <w:r w:rsidR="00C6571A">
        <w:t xml:space="preserve">More on this study and its </w:t>
      </w:r>
      <w:r w:rsidR="00D72530">
        <w:t>discontinuation</w:t>
      </w:r>
      <w:r w:rsidR="00C6571A">
        <w:t xml:space="preserve"> can be found at the following locations:</w:t>
      </w:r>
    </w:p>
    <w:p w:rsidR="00C6571A" w:rsidRDefault="00C6571A" w:rsidP="00C6571A">
      <w:pPr>
        <w:ind w:left="360"/>
      </w:pPr>
    </w:p>
    <w:p w:rsidR="00C6571A" w:rsidRDefault="00FF1074" w:rsidP="00C6571A">
      <w:pPr>
        <w:pStyle w:val="ListParagraph"/>
        <w:numPr>
          <w:ilvl w:val="0"/>
          <w:numId w:val="6"/>
        </w:numPr>
      </w:pPr>
      <w:r>
        <w:t xml:space="preserve">Expansion of the trial </w:t>
      </w:r>
      <w:r w:rsidR="00C6571A">
        <w:t xml:space="preserve">(see bottom): </w:t>
      </w:r>
      <w:hyperlink r:id="rId7" w:history="1">
        <w:r w:rsidRPr="00463523">
          <w:rPr>
            <w:rStyle w:val="Hyperlink"/>
          </w:rPr>
          <w:t>http://ww</w:t>
        </w:r>
        <w:r w:rsidRPr="00463523">
          <w:rPr>
            <w:rStyle w:val="Hyperlink"/>
          </w:rPr>
          <w:t>w</w:t>
        </w:r>
        <w:r w:rsidRPr="00463523">
          <w:rPr>
            <w:rStyle w:val="Hyperlink"/>
          </w:rPr>
          <w:t>.niaid.nih.gov/topics/HIVAIDS/Research/</w:t>
        </w:r>
        <w:r w:rsidRPr="00463523">
          <w:rPr>
            <w:rStyle w:val="Hyperlink"/>
          </w:rPr>
          <w:br/>
          <w:t>vaccines/clinical/Pages/highlights.aspx</w:t>
        </w:r>
      </w:hyperlink>
      <w:r w:rsidR="00C6571A">
        <w:t xml:space="preserve"> </w:t>
      </w:r>
    </w:p>
    <w:p w:rsidR="00422322" w:rsidRDefault="00422322" w:rsidP="00422322">
      <w:pPr>
        <w:pStyle w:val="ListParagraph"/>
        <w:numPr>
          <w:ilvl w:val="0"/>
          <w:numId w:val="6"/>
        </w:numPr>
      </w:pPr>
      <w:r>
        <w:t xml:space="preserve">Discontinuation of </w:t>
      </w:r>
      <w:r w:rsidR="00FF1074">
        <w:t xml:space="preserve">the </w:t>
      </w:r>
      <w:r>
        <w:t xml:space="preserve">trial: </w:t>
      </w:r>
      <w:hyperlink r:id="rId8" w:history="1">
        <w:r w:rsidRPr="0004143A">
          <w:rPr>
            <w:rStyle w:val="Hyperlink"/>
          </w:rPr>
          <w:t>http://www.niaid.nih.gov/news/newsreleases/2013/Pages/</w:t>
        </w:r>
        <w:r w:rsidRPr="0004143A">
          <w:rPr>
            <w:rStyle w:val="Hyperlink"/>
          </w:rPr>
          <w:br/>
          <w:t>HVTN505April2013.aspx</w:t>
        </w:r>
      </w:hyperlink>
      <w:r>
        <w:t xml:space="preserve"> </w:t>
      </w:r>
    </w:p>
    <w:p w:rsidR="00422322" w:rsidRDefault="00422322" w:rsidP="00422322">
      <w:pPr>
        <w:pStyle w:val="ListParagraph"/>
        <w:numPr>
          <w:ilvl w:val="0"/>
          <w:numId w:val="6"/>
        </w:numPr>
      </w:pPr>
      <w:r>
        <w:t xml:space="preserve">Questions and Answers: </w:t>
      </w:r>
      <w:hyperlink r:id="rId9" w:history="1">
        <w:r w:rsidRPr="0004143A">
          <w:rPr>
            <w:rStyle w:val="Hyperlink"/>
          </w:rPr>
          <w:t>http://www.niaid.nih.gov/news/QA/Pages/HVTN505qa2013.aspx</w:t>
        </w:r>
      </w:hyperlink>
    </w:p>
    <w:p w:rsidR="00422322" w:rsidRDefault="00422322" w:rsidP="00422322">
      <w:pPr>
        <w:pStyle w:val="ListParagraph"/>
        <w:numPr>
          <w:ilvl w:val="0"/>
          <w:numId w:val="6"/>
        </w:numPr>
      </w:pPr>
      <w:r>
        <w:t xml:space="preserve">NY Times article about discontinuation of </w:t>
      </w:r>
      <w:r w:rsidR="00FF1074">
        <w:t xml:space="preserve">the </w:t>
      </w:r>
      <w:r>
        <w:t xml:space="preserve">trial: </w:t>
      </w:r>
      <w:hyperlink r:id="rId10" w:history="1">
        <w:r w:rsidRPr="0004143A">
          <w:rPr>
            <w:rStyle w:val="Hyperlink"/>
          </w:rPr>
          <w:t>http://www.nytimes.com/2013/04/26/</w:t>
        </w:r>
        <w:r w:rsidRPr="0004143A">
          <w:rPr>
            <w:rStyle w:val="Hyperlink"/>
          </w:rPr>
          <w:br/>
          <w:t>health/agency-halts-trial-for-aids-vaccine.html</w:t>
        </w:r>
      </w:hyperlink>
      <w:r>
        <w:t xml:space="preserve"> </w:t>
      </w:r>
    </w:p>
    <w:p w:rsidR="00D72530" w:rsidRDefault="00D72530" w:rsidP="00422322">
      <w:pPr>
        <w:pStyle w:val="ListParagraph"/>
        <w:numPr>
          <w:ilvl w:val="0"/>
          <w:numId w:val="6"/>
        </w:numPr>
      </w:pPr>
      <w:r>
        <w:t xml:space="preserve">History of HIV vaccine research: </w:t>
      </w:r>
      <w:hyperlink r:id="rId11" w:history="1">
        <w:r w:rsidR="009F7C42" w:rsidRPr="0004143A">
          <w:rPr>
            <w:rStyle w:val="Hyperlink"/>
          </w:rPr>
          <w:t>http://www.niaid.nih.gov/topics/HIVAIDS/Research/</w:t>
        </w:r>
        <w:r w:rsidR="009F7C42" w:rsidRPr="0004143A">
          <w:rPr>
            <w:rStyle w:val="Hyperlink"/>
          </w:rPr>
          <w:br/>
          <w:t>vaccines/Pages/history.aspx#</w:t>
        </w:r>
      </w:hyperlink>
      <w:r>
        <w:t xml:space="preserve">  </w:t>
      </w:r>
    </w:p>
    <w:p w:rsidR="00C6571A" w:rsidRDefault="00C6571A" w:rsidP="00C6571A">
      <w:pPr>
        <w:ind w:left="360"/>
      </w:pPr>
    </w:p>
    <w:p w:rsidR="00473EF9" w:rsidRDefault="00FF1074" w:rsidP="00C6571A">
      <w:pPr>
        <w:ind w:left="360"/>
      </w:pPr>
      <w:r>
        <w:t>B</w:t>
      </w:r>
      <w:r w:rsidR="00D72530">
        <w:t>elo</w:t>
      </w:r>
      <w:r>
        <w:t>w is a contingency table summarizing the results of the trial for those who were enrolled for at least 28 weeks</w:t>
      </w:r>
      <w:r w:rsidR="00141062">
        <w:t xml:space="preserve"> (thus, some individuals may have been part of the trial for more than 28 weeks)</w:t>
      </w:r>
      <w:r>
        <w:t xml:space="preserve">. </w:t>
      </w:r>
    </w:p>
    <w:p w:rsidR="002D7120" w:rsidRDefault="002D7120" w:rsidP="002D7120">
      <w:pPr>
        <w:ind w:left="360"/>
      </w:pPr>
    </w:p>
    <w:tbl>
      <w:tblPr>
        <w:tblW w:w="4960" w:type="dxa"/>
        <w:jc w:val="center"/>
        <w:tblCellMar>
          <w:left w:w="0" w:type="dxa"/>
          <w:right w:w="0" w:type="dxa"/>
        </w:tblCellMar>
        <w:tblLook w:val="04A0" w:firstRow="1" w:lastRow="0" w:firstColumn="1" w:lastColumn="0" w:noHBand="0" w:noVBand="1"/>
      </w:tblPr>
      <w:tblGrid>
        <w:gridCol w:w="1160"/>
        <w:gridCol w:w="960"/>
        <w:gridCol w:w="623"/>
        <w:gridCol w:w="1157"/>
        <w:gridCol w:w="1060"/>
      </w:tblGrid>
      <w:tr w:rsidR="002D7120" w:rsidTr="009E369D">
        <w:trPr>
          <w:trHeight w:val="315"/>
          <w:jc w:val="center"/>
        </w:trPr>
        <w:tc>
          <w:tcPr>
            <w:tcW w:w="1160" w:type="dxa"/>
            <w:tcBorders>
              <w:top w:val="nil"/>
              <w:left w:val="nil"/>
              <w:bottom w:val="nil"/>
              <w:right w:val="nil"/>
            </w:tcBorders>
            <w:shd w:val="clear" w:color="auto" w:fill="auto"/>
            <w:noWrap/>
            <w:tcMar>
              <w:top w:w="17" w:type="dxa"/>
              <w:left w:w="17" w:type="dxa"/>
              <w:bottom w:w="0" w:type="dxa"/>
              <w:right w:w="17" w:type="dxa"/>
            </w:tcMar>
            <w:vAlign w:val="bottom"/>
            <w:hideMark/>
          </w:tcPr>
          <w:p w:rsidR="002D7120" w:rsidRDefault="002D7120" w:rsidP="009E369D">
            <w:pPr>
              <w:rPr>
                <w:color w:val="000000"/>
              </w:rPr>
            </w:pPr>
          </w:p>
        </w:tc>
        <w:tc>
          <w:tcPr>
            <w:tcW w:w="960" w:type="dxa"/>
            <w:tcBorders>
              <w:top w:val="nil"/>
              <w:left w:val="nil"/>
              <w:bottom w:val="nil"/>
              <w:right w:val="nil"/>
            </w:tcBorders>
            <w:shd w:val="clear" w:color="auto" w:fill="auto"/>
            <w:noWrap/>
            <w:tcMar>
              <w:top w:w="17" w:type="dxa"/>
              <w:left w:w="17" w:type="dxa"/>
              <w:bottom w:w="0" w:type="dxa"/>
              <w:right w:w="17" w:type="dxa"/>
            </w:tcMar>
            <w:vAlign w:val="bottom"/>
            <w:hideMark/>
          </w:tcPr>
          <w:p w:rsidR="002D7120" w:rsidRDefault="002D7120" w:rsidP="009E369D">
            <w:pPr>
              <w:rPr>
                <w:color w:val="000000"/>
              </w:rPr>
            </w:pPr>
          </w:p>
        </w:tc>
        <w:tc>
          <w:tcPr>
            <w:tcW w:w="1780" w:type="dxa"/>
            <w:gridSpan w:val="2"/>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2D7120" w:rsidRDefault="002D7120" w:rsidP="009E369D">
            <w:pPr>
              <w:jc w:val="center"/>
              <w:rPr>
                <w:color w:val="000000"/>
              </w:rPr>
            </w:pPr>
            <w:r>
              <w:rPr>
                <w:color w:val="000000"/>
              </w:rPr>
              <w:t>Response</w:t>
            </w:r>
          </w:p>
        </w:tc>
        <w:tc>
          <w:tcPr>
            <w:tcW w:w="1060" w:type="dxa"/>
            <w:tcBorders>
              <w:top w:val="nil"/>
              <w:left w:val="nil"/>
              <w:bottom w:val="nil"/>
              <w:right w:val="nil"/>
            </w:tcBorders>
            <w:shd w:val="clear" w:color="auto" w:fill="auto"/>
            <w:noWrap/>
            <w:tcMar>
              <w:top w:w="17" w:type="dxa"/>
              <w:left w:w="17" w:type="dxa"/>
              <w:bottom w:w="0" w:type="dxa"/>
              <w:right w:w="17" w:type="dxa"/>
            </w:tcMar>
            <w:vAlign w:val="bottom"/>
            <w:hideMark/>
          </w:tcPr>
          <w:p w:rsidR="002D7120" w:rsidRDefault="002D7120" w:rsidP="009E369D">
            <w:pPr>
              <w:rPr>
                <w:color w:val="000000"/>
              </w:rPr>
            </w:pPr>
          </w:p>
        </w:tc>
      </w:tr>
      <w:tr w:rsidR="002D7120" w:rsidTr="009E369D">
        <w:trPr>
          <w:trHeight w:val="315"/>
          <w:jc w:val="center"/>
        </w:trPr>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2D7120" w:rsidRDefault="002D7120" w:rsidP="009E369D">
            <w:pPr>
              <w:rPr>
                <w:color w:val="000000"/>
              </w:rPr>
            </w:pPr>
          </w:p>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2D7120" w:rsidRDefault="002D7120" w:rsidP="009E369D">
            <w:pPr>
              <w:rPr>
                <w:color w:val="000000"/>
              </w:rPr>
            </w:pP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2D7120" w:rsidRDefault="002D7120" w:rsidP="009E369D">
            <w:pPr>
              <w:jc w:val="center"/>
              <w:rPr>
                <w:color w:val="000000"/>
              </w:rPr>
            </w:pPr>
            <w:r>
              <w:rPr>
                <w:color w:val="000000"/>
              </w:rPr>
              <w:t>HIV</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2D7120" w:rsidRDefault="002D7120" w:rsidP="009E369D">
            <w:pPr>
              <w:jc w:val="center"/>
              <w:rPr>
                <w:color w:val="000000"/>
              </w:rPr>
            </w:pPr>
            <w:r>
              <w:rPr>
                <w:color w:val="000000"/>
              </w:rPr>
              <w:t>No HIV</w:t>
            </w:r>
          </w:p>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2D7120" w:rsidRDefault="002D7120" w:rsidP="009E369D">
            <w:pPr>
              <w:rPr>
                <w:color w:val="000000"/>
              </w:rPr>
            </w:pPr>
          </w:p>
        </w:tc>
      </w:tr>
      <w:tr w:rsidR="002D7120" w:rsidTr="009E369D">
        <w:trPr>
          <w:trHeight w:val="315"/>
          <w:jc w:val="center"/>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tcMar>
              <w:top w:w="17" w:type="dxa"/>
              <w:left w:w="17" w:type="dxa"/>
              <w:bottom w:w="0" w:type="dxa"/>
              <w:right w:w="17" w:type="dxa"/>
            </w:tcMar>
            <w:vAlign w:val="center"/>
            <w:hideMark/>
          </w:tcPr>
          <w:p w:rsidR="002D7120" w:rsidRDefault="002D7120" w:rsidP="009E369D">
            <w:pPr>
              <w:jc w:val="center"/>
              <w:rPr>
                <w:color w:val="000000"/>
              </w:rPr>
            </w:pPr>
            <w:r>
              <w:rPr>
                <w:color w:val="000000"/>
              </w:rPr>
              <w:t>Treatment</w:t>
            </w:r>
          </w:p>
        </w:tc>
        <w:tc>
          <w:tcPr>
            <w:tcW w:w="0" w:type="auto"/>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2D7120" w:rsidRDefault="002D7120" w:rsidP="009E369D">
            <w:pPr>
              <w:rPr>
                <w:color w:val="000000"/>
              </w:rPr>
            </w:pPr>
            <w:r>
              <w:rPr>
                <w:color w:val="000000"/>
              </w:rPr>
              <w:t>Vaccine</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2D7120" w:rsidRDefault="00D72530" w:rsidP="00B277D7">
            <w:pPr>
              <w:jc w:val="center"/>
              <w:rPr>
                <w:color w:val="000000"/>
              </w:rPr>
            </w:pPr>
            <w:r>
              <w:rPr>
                <w:color w:val="000000"/>
              </w:rPr>
              <w:t>27</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2D7120" w:rsidRDefault="00B277D7" w:rsidP="00B277D7">
            <w:pPr>
              <w:jc w:val="center"/>
              <w:rPr>
                <w:color w:val="000000"/>
              </w:rPr>
            </w:pPr>
            <w:r>
              <w:rPr>
                <w:color w:val="000000"/>
              </w:rPr>
              <w:t>1,223</w:t>
            </w:r>
          </w:p>
        </w:tc>
        <w:tc>
          <w:tcPr>
            <w:tcW w:w="0" w:type="auto"/>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2D7120" w:rsidRDefault="002D7120" w:rsidP="00B277D7">
            <w:pPr>
              <w:jc w:val="center"/>
              <w:rPr>
                <w:color w:val="000000"/>
              </w:rPr>
            </w:pPr>
            <w:r>
              <w:rPr>
                <w:color w:val="000000"/>
              </w:rPr>
              <w:t>1,250</w:t>
            </w:r>
          </w:p>
        </w:tc>
      </w:tr>
      <w:tr w:rsidR="002D7120" w:rsidTr="009E369D">
        <w:trPr>
          <w:trHeight w:val="315"/>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D7120" w:rsidRDefault="002D7120" w:rsidP="009E369D">
            <w:pPr>
              <w:rPr>
                <w:color w:val="000000"/>
              </w:rPr>
            </w:pP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2D7120" w:rsidRDefault="002D7120" w:rsidP="009E369D">
            <w:pPr>
              <w:rPr>
                <w:color w:val="000000"/>
              </w:rPr>
            </w:pPr>
            <w:r>
              <w:rPr>
                <w:color w:val="000000"/>
              </w:rPr>
              <w:t>Placebo</w:t>
            </w:r>
          </w:p>
        </w:tc>
        <w:tc>
          <w:tcPr>
            <w:tcW w:w="0" w:type="auto"/>
            <w:tcBorders>
              <w:top w:val="nil"/>
              <w:left w:val="nil"/>
              <w:bottom w:val="nil"/>
              <w:right w:val="single" w:sz="4" w:space="0" w:color="auto"/>
            </w:tcBorders>
            <w:shd w:val="clear" w:color="auto" w:fill="auto"/>
            <w:noWrap/>
            <w:tcMar>
              <w:top w:w="17" w:type="dxa"/>
              <w:left w:w="17" w:type="dxa"/>
              <w:bottom w:w="0" w:type="dxa"/>
              <w:right w:w="17" w:type="dxa"/>
            </w:tcMar>
            <w:vAlign w:val="bottom"/>
          </w:tcPr>
          <w:p w:rsidR="002D7120" w:rsidRDefault="00D72530" w:rsidP="00B277D7">
            <w:pPr>
              <w:jc w:val="center"/>
              <w:rPr>
                <w:color w:val="000000"/>
              </w:rPr>
            </w:pPr>
            <w:r>
              <w:rPr>
                <w:color w:val="000000"/>
              </w:rPr>
              <w:t>21</w:t>
            </w:r>
          </w:p>
        </w:tc>
        <w:tc>
          <w:tcPr>
            <w:tcW w:w="0" w:type="auto"/>
            <w:tcBorders>
              <w:top w:val="nil"/>
              <w:left w:val="nil"/>
              <w:bottom w:val="nil"/>
              <w:right w:val="single" w:sz="4" w:space="0" w:color="auto"/>
            </w:tcBorders>
            <w:shd w:val="clear" w:color="auto" w:fill="auto"/>
            <w:noWrap/>
            <w:tcMar>
              <w:top w:w="17" w:type="dxa"/>
              <w:left w:w="17" w:type="dxa"/>
              <w:bottom w:w="0" w:type="dxa"/>
              <w:right w:w="17" w:type="dxa"/>
            </w:tcMar>
            <w:vAlign w:val="bottom"/>
          </w:tcPr>
          <w:p w:rsidR="002D7120" w:rsidRDefault="00B277D7" w:rsidP="00B277D7">
            <w:pPr>
              <w:jc w:val="center"/>
              <w:rPr>
                <w:color w:val="000000"/>
              </w:rPr>
            </w:pPr>
            <w:r>
              <w:rPr>
                <w:color w:val="000000"/>
              </w:rPr>
              <w:t>1,223</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2D7120" w:rsidRDefault="002D7120" w:rsidP="00B277D7">
            <w:pPr>
              <w:jc w:val="center"/>
              <w:rPr>
                <w:color w:val="000000"/>
              </w:rPr>
            </w:pPr>
            <w:r>
              <w:rPr>
                <w:color w:val="000000"/>
              </w:rPr>
              <w:t>1,244</w:t>
            </w:r>
          </w:p>
        </w:tc>
      </w:tr>
      <w:tr w:rsidR="002D7120" w:rsidTr="009E369D">
        <w:trPr>
          <w:trHeight w:val="315"/>
          <w:jc w:val="center"/>
        </w:trPr>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2D7120" w:rsidRDefault="002D7120" w:rsidP="009E369D">
            <w:pPr>
              <w:rPr>
                <w:color w:val="000000"/>
              </w:rPr>
            </w:pPr>
          </w:p>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2D7120" w:rsidRDefault="002D7120" w:rsidP="009E369D">
            <w:pP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2D7120" w:rsidRDefault="00B277D7" w:rsidP="00B277D7">
            <w:pPr>
              <w:jc w:val="center"/>
              <w:rPr>
                <w:color w:val="000000"/>
              </w:rPr>
            </w:pPr>
            <w:r>
              <w:rPr>
                <w:color w:val="000000"/>
              </w:rPr>
              <w:t>48</w:t>
            </w:r>
          </w:p>
        </w:tc>
        <w:tc>
          <w:tcPr>
            <w:tcW w:w="0" w:type="auto"/>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2D7120" w:rsidRDefault="00B277D7" w:rsidP="00B277D7">
            <w:pPr>
              <w:jc w:val="center"/>
              <w:rPr>
                <w:color w:val="000000"/>
              </w:rPr>
            </w:pPr>
            <w:r>
              <w:rPr>
                <w:color w:val="000000"/>
              </w:rPr>
              <w:t>2,446</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2D7120" w:rsidRDefault="002D7120" w:rsidP="00B277D7">
            <w:pPr>
              <w:jc w:val="center"/>
              <w:rPr>
                <w:color w:val="000000"/>
              </w:rPr>
            </w:pPr>
            <w:r>
              <w:rPr>
                <w:color w:val="000000"/>
              </w:rPr>
              <w:t>2,494</w:t>
            </w:r>
          </w:p>
        </w:tc>
      </w:tr>
    </w:tbl>
    <w:p w:rsidR="00D72530" w:rsidRDefault="00D72530" w:rsidP="0066105C">
      <w:pPr>
        <w:ind w:left="360"/>
      </w:pPr>
    </w:p>
    <w:p w:rsidR="00D72530" w:rsidRDefault="00D72530" w:rsidP="00052415">
      <w:pPr>
        <w:ind w:left="360"/>
      </w:pPr>
      <w:r>
        <w:t>Based on this and othe</w:t>
      </w:r>
      <w:r w:rsidR="00FF1074">
        <w:t xml:space="preserve">r examinations of the clinical trial’s </w:t>
      </w:r>
      <w:r>
        <w:t xml:space="preserve">data, vaccinations for this trial were discontinued in 2013 due to lack of efficacy. The purpose of this problem then is for you to use the appropriate methods from our course with this data to reach </w:t>
      </w:r>
      <w:r w:rsidR="00FF1074">
        <w:t>the</w:t>
      </w:r>
      <w:r>
        <w:t xml:space="preserve"> same conclusion. </w:t>
      </w:r>
    </w:p>
    <w:p w:rsidR="008724E5" w:rsidRDefault="008D78FB" w:rsidP="00D72530">
      <w:pPr>
        <w:pStyle w:val="ListParagraph"/>
        <w:numPr>
          <w:ilvl w:val="1"/>
          <w:numId w:val="5"/>
        </w:numPr>
      </w:pPr>
      <w:r>
        <w:t>(3 poi</w:t>
      </w:r>
      <w:r w:rsidR="00CF2375">
        <w:t xml:space="preserve">nts) </w:t>
      </w:r>
      <w:r w:rsidR="008724E5">
        <w:t xml:space="preserve">A description of who was in the sample is given in some </w:t>
      </w:r>
      <w:r w:rsidR="00362E27">
        <w:t>of the web links above</w:t>
      </w:r>
      <w:r w:rsidR="008724E5">
        <w:t xml:space="preserve">. Based on this sample, what was the population? Is there perhaps a larger intended population that would be of interest? If so, what assumptions need to be made? </w:t>
      </w:r>
    </w:p>
    <w:p w:rsidR="00E072D3" w:rsidRDefault="00CF2375" w:rsidP="00B720CF">
      <w:pPr>
        <w:pStyle w:val="ListParagraph"/>
        <w:numPr>
          <w:ilvl w:val="1"/>
          <w:numId w:val="5"/>
        </w:numPr>
      </w:pPr>
      <w:r>
        <w:t>(12 points) Examine the benefits to using the vaccine rather than the placebo using the following methods (</w:t>
      </w:r>
      <w:r>
        <w:sym w:font="Symbol" w:char="F061"/>
      </w:r>
      <w:r>
        <w:t xml:space="preserve"> = 0.05):</w:t>
      </w:r>
    </w:p>
    <w:p w:rsidR="006B055A" w:rsidRDefault="00CB1C5E" w:rsidP="00B720CF">
      <w:pPr>
        <w:pStyle w:val="ListParagraph"/>
        <w:numPr>
          <w:ilvl w:val="2"/>
          <w:numId w:val="5"/>
        </w:numPr>
      </w:pPr>
      <w:proofErr w:type="spellStart"/>
      <w:r>
        <w:t>Agresti-Caffo</w:t>
      </w:r>
      <w:proofErr w:type="spellEnd"/>
      <w:r>
        <w:t xml:space="preserve"> confidence interval for the difference in probabilities </w:t>
      </w:r>
    </w:p>
    <w:p w:rsidR="00B16851" w:rsidRDefault="00CF2375" w:rsidP="00B720CF">
      <w:pPr>
        <w:pStyle w:val="ListParagraph"/>
        <w:numPr>
          <w:ilvl w:val="2"/>
          <w:numId w:val="5"/>
        </w:numPr>
      </w:pPr>
      <w:r>
        <w:t xml:space="preserve">Wald confidence interval for the </w:t>
      </w:r>
      <w:r w:rsidR="00FE0C22">
        <w:t>relative risk</w:t>
      </w:r>
    </w:p>
    <w:p w:rsidR="005701CF" w:rsidRDefault="00CF2375" w:rsidP="00B720CF">
      <w:pPr>
        <w:pStyle w:val="ListParagraph"/>
        <w:numPr>
          <w:ilvl w:val="2"/>
          <w:numId w:val="5"/>
        </w:numPr>
      </w:pPr>
      <w:r>
        <w:t xml:space="preserve">Wald confidence interval for the </w:t>
      </w:r>
      <w:r w:rsidR="00FE0C22">
        <w:t>odds ratio</w:t>
      </w:r>
    </w:p>
    <w:p w:rsidR="00CF2375" w:rsidRDefault="00CF2375" w:rsidP="00CF2375">
      <w:pPr>
        <w:pStyle w:val="ListParagraph"/>
        <w:numPr>
          <w:ilvl w:val="2"/>
          <w:numId w:val="5"/>
        </w:numPr>
      </w:pPr>
      <w:r>
        <w:t>Pearson chi-square test for independence</w:t>
      </w:r>
    </w:p>
    <w:p w:rsidR="00CF2375" w:rsidRDefault="00CF2375" w:rsidP="00CF2375">
      <w:pPr>
        <w:ind w:left="720"/>
      </w:pPr>
      <w:r>
        <w:lastRenderedPageBreak/>
        <w:t>With each method, provide the details for the calculations and FULL interpretations of the numerical results</w:t>
      </w:r>
      <w:r w:rsidR="00B61D0F">
        <w:t xml:space="preserve"> (statistical and practical interpretations)</w:t>
      </w:r>
      <w:r w:rsidR="00A829AA">
        <w:t>.</w:t>
      </w:r>
    </w:p>
    <w:p w:rsidR="005F471A" w:rsidRDefault="001B6779" w:rsidP="000945F5">
      <w:pPr>
        <w:pStyle w:val="ListParagraph"/>
        <w:numPr>
          <w:ilvl w:val="1"/>
          <w:numId w:val="5"/>
        </w:numPr>
      </w:pPr>
      <w:r>
        <w:t xml:space="preserve">(5 points) </w:t>
      </w:r>
      <w:r w:rsidR="00A829AA">
        <w:t xml:space="preserve">How </w:t>
      </w:r>
      <w:r w:rsidR="00240CD1">
        <w:t xml:space="preserve">much better than the placebo did the vaccine need to be </w:t>
      </w:r>
      <w:r w:rsidR="00A829AA">
        <w:t xml:space="preserve">in order to show the vaccine worked? </w:t>
      </w:r>
      <w:r w:rsidR="00B61D0F">
        <w:t>For the n</w:t>
      </w:r>
      <w:r w:rsidR="00B61D0F" w:rsidRPr="00B720CF">
        <w:rPr>
          <w:vertAlign w:val="subscript"/>
        </w:rPr>
        <w:t>1+</w:t>
      </w:r>
      <w:r w:rsidR="00B61D0F">
        <w:t>, n</w:t>
      </w:r>
      <w:r w:rsidR="00B61D0F" w:rsidRPr="00B720CF">
        <w:rPr>
          <w:vertAlign w:val="subscript"/>
        </w:rPr>
        <w:t>2+</w:t>
      </w:r>
      <w:r w:rsidR="00B61D0F">
        <w:t>, and w</w:t>
      </w:r>
      <w:r w:rsidR="00B61D0F" w:rsidRPr="00B720CF">
        <w:rPr>
          <w:vertAlign w:val="subscript"/>
        </w:rPr>
        <w:t>2</w:t>
      </w:r>
      <w:r w:rsidR="00B61D0F">
        <w:t xml:space="preserve"> given in the data, find what values of w</w:t>
      </w:r>
      <w:r w:rsidR="00B61D0F" w:rsidRPr="00B720CF">
        <w:rPr>
          <w:vertAlign w:val="subscript"/>
        </w:rPr>
        <w:t>1</w:t>
      </w:r>
      <w:r w:rsidR="00B61D0F">
        <w:t xml:space="preserve"> would </w:t>
      </w:r>
      <w:r w:rsidR="00A829AA">
        <w:t>have been</w:t>
      </w:r>
      <w:r w:rsidR="00B61D0F">
        <w:t xml:space="preserve"> needed in order to conclude that </w:t>
      </w:r>
      <w:r w:rsidR="00A829AA">
        <w:t>the vaccine worked. Provide the estimated odds ratio</w:t>
      </w:r>
      <w:r w:rsidR="00773640">
        <w:t xml:space="preserve"> and relative risk</w:t>
      </w:r>
      <w:r w:rsidR="00A829AA">
        <w:t xml:space="preserve"> associated with these values of w</w:t>
      </w:r>
      <w:r w:rsidR="00A829AA" w:rsidRPr="00B720CF">
        <w:rPr>
          <w:vertAlign w:val="subscript"/>
        </w:rPr>
        <w:t>1</w:t>
      </w:r>
      <w:r w:rsidR="00A829AA">
        <w:t xml:space="preserve">. Discuss the potential consequences for the study design. </w:t>
      </w:r>
    </w:p>
    <w:p w:rsidR="00594896" w:rsidRDefault="00B61D0F" w:rsidP="00B61D0F">
      <w:pPr>
        <w:pStyle w:val="ListParagraph"/>
        <w:numPr>
          <w:ilvl w:val="1"/>
          <w:numId w:val="5"/>
        </w:numPr>
      </w:pPr>
      <w:r>
        <w:t xml:space="preserve">(3 points) At the end of </w:t>
      </w:r>
      <w:r w:rsidR="00594896">
        <w:t>a</w:t>
      </w:r>
      <w:r>
        <w:t xml:space="preserve"> 28 week</w:t>
      </w:r>
      <w:r w:rsidR="00594896">
        <w:t xml:space="preserve"> period of time from first vaccination</w:t>
      </w:r>
      <w:r>
        <w:t xml:space="preserve">, </w:t>
      </w:r>
      <w:r w:rsidR="00594896">
        <w:t xml:space="preserve">the following HIV infection data was observed: </w:t>
      </w:r>
    </w:p>
    <w:p w:rsidR="00594896" w:rsidRDefault="00594896" w:rsidP="00594896">
      <w:pPr>
        <w:pStyle w:val="ListParagraph"/>
      </w:pPr>
    </w:p>
    <w:tbl>
      <w:tblPr>
        <w:tblW w:w="4960" w:type="dxa"/>
        <w:jc w:val="center"/>
        <w:tblCellMar>
          <w:left w:w="0" w:type="dxa"/>
          <w:right w:w="0" w:type="dxa"/>
        </w:tblCellMar>
        <w:tblLook w:val="04A0" w:firstRow="1" w:lastRow="0" w:firstColumn="1" w:lastColumn="0" w:noHBand="0" w:noVBand="1"/>
      </w:tblPr>
      <w:tblGrid>
        <w:gridCol w:w="1160"/>
        <w:gridCol w:w="960"/>
        <w:gridCol w:w="623"/>
        <w:gridCol w:w="1157"/>
        <w:gridCol w:w="1060"/>
      </w:tblGrid>
      <w:tr w:rsidR="00594896" w:rsidTr="009E369D">
        <w:trPr>
          <w:trHeight w:val="315"/>
          <w:jc w:val="center"/>
        </w:trPr>
        <w:tc>
          <w:tcPr>
            <w:tcW w:w="1160" w:type="dxa"/>
            <w:tcBorders>
              <w:top w:val="nil"/>
              <w:left w:val="nil"/>
              <w:bottom w:val="nil"/>
              <w:right w:val="nil"/>
            </w:tcBorders>
            <w:shd w:val="clear" w:color="auto" w:fill="auto"/>
            <w:noWrap/>
            <w:tcMar>
              <w:top w:w="17" w:type="dxa"/>
              <w:left w:w="17" w:type="dxa"/>
              <w:bottom w:w="0" w:type="dxa"/>
              <w:right w:w="17" w:type="dxa"/>
            </w:tcMar>
            <w:vAlign w:val="bottom"/>
            <w:hideMark/>
          </w:tcPr>
          <w:p w:rsidR="00594896" w:rsidRDefault="00594896" w:rsidP="009E369D">
            <w:pPr>
              <w:rPr>
                <w:color w:val="000000"/>
              </w:rPr>
            </w:pPr>
          </w:p>
        </w:tc>
        <w:tc>
          <w:tcPr>
            <w:tcW w:w="960" w:type="dxa"/>
            <w:tcBorders>
              <w:top w:val="nil"/>
              <w:left w:val="nil"/>
              <w:bottom w:val="nil"/>
              <w:right w:val="nil"/>
            </w:tcBorders>
            <w:shd w:val="clear" w:color="auto" w:fill="auto"/>
            <w:noWrap/>
            <w:tcMar>
              <w:top w:w="17" w:type="dxa"/>
              <w:left w:w="17" w:type="dxa"/>
              <w:bottom w:w="0" w:type="dxa"/>
              <w:right w:w="17" w:type="dxa"/>
            </w:tcMar>
            <w:vAlign w:val="bottom"/>
            <w:hideMark/>
          </w:tcPr>
          <w:p w:rsidR="00594896" w:rsidRDefault="00594896" w:rsidP="009E369D">
            <w:pPr>
              <w:rPr>
                <w:color w:val="000000"/>
              </w:rPr>
            </w:pPr>
          </w:p>
        </w:tc>
        <w:tc>
          <w:tcPr>
            <w:tcW w:w="1780" w:type="dxa"/>
            <w:gridSpan w:val="2"/>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594896" w:rsidRDefault="00594896" w:rsidP="009E369D">
            <w:pPr>
              <w:jc w:val="center"/>
              <w:rPr>
                <w:color w:val="000000"/>
              </w:rPr>
            </w:pPr>
            <w:r>
              <w:rPr>
                <w:color w:val="000000"/>
              </w:rPr>
              <w:t>Response</w:t>
            </w:r>
          </w:p>
        </w:tc>
        <w:tc>
          <w:tcPr>
            <w:tcW w:w="1060" w:type="dxa"/>
            <w:tcBorders>
              <w:top w:val="nil"/>
              <w:left w:val="nil"/>
              <w:bottom w:val="nil"/>
              <w:right w:val="nil"/>
            </w:tcBorders>
            <w:shd w:val="clear" w:color="auto" w:fill="auto"/>
            <w:noWrap/>
            <w:tcMar>
              <w:top w:w="17" w:type="dxa"/>
              <w:left w:w="17" w:type="dxa"/>
              <w:bottom w:w="0" w:type="dxa"/>
              <w:right w:w="17" w:type="dxa"/>
            </w:tcMar>
            <w:vAlign w:val="bottom"/>
            <w:hideMark/>
          </w:tcPr>
          <w:p w:rsidR="00594896" w:rsidRDefault="00594896" w:rsidP="009E369D">
            <w:pPr>
              <w:rPr>
                <w:color w:val="000000"/>
              </w:rPr>
            </w:pPr>
          </w:p>
        </w:tc>
      </w:tr>
      <w:tr w:rsidR="00594896" w:rsidTr="009E369D">
        <w:trPr>
          <w:trHeight w:val="315"/>
          <w:jc w:val="center"/>
        </w:trPr>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594896" w:rsidRDefault="00594896" w:rsidP="009E369D">
            <w:pPr>
              <w:rPr>
                <w:color w:val="000000"/>
              </w:rPr>
            </w:pPr>
          </w:p>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594896" w:rsidRDefault="00594896" w:rsidP="009E369D">
            <w:pPr>
              <w:rPr>
                <w:color w:val="000000"/>
              </w:rPr>
            </w:pP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594896" w:rsidRDefault="00594896" w:rsidP="009E369D">
            <w:pPr>
              <w:jc w:val="center"/>
              <w:rPr>
                <w:color w:val="000000"/>
              </w:rPr>
            </w:pPr>
            <w:r>
              <w:rPr>
                <w:color w:val="000000"/>
              </w:rPr>
              <w:t>HIV</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594896" w:rsidRDefault="00594896" w:rsidP="009E369D">
            <w:pPr>
              <w:jc w:val="center"/>
              <w:rPr>
                <w:color w:val="000000"/>
              </w:rPr>
            </w:pPr>
            <w:r>
              <w:rPr>
                <w:color w:val="000000"/>
              </w:rPr>
              <w:t>No HIV</w:t>
            </w:r>
          </w:p>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594896" w:rsidRDefault="00594896" w:rsidP="009E369D">
            <w:pPr>
              <w:rPr>
                <w:color w:val="000000"/>
              </w:rPr>
            </w:pPr>
          </w:p>
        </w:tc>
      </w:tr>
      <w:tr w:rsidR="00594896" w:rsidTr="009E369D">
        <w:trPr>
          <w:trHeight w:val="315"/>
          <w:jc w:val="center"/>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tcMar>
              <w:top w:w="17" w:type="dxa"/>
              <w:left w:w="17" w:type="dxa"/>
              <w:bottom w:w="0" w:type="dxa"/>
              <w:right w:w="17" w:type="dxa"/>
            </w:tcMar>
            <w:vAlign w:val="center"/>
            <w:hideMark/>
          </w:tcPr>
          <w:p w:rsidR="00594896" w:rsidRDefault="00594896" w:rsidP="009E369D">
            <w:pPr>
              <w:jc w:val="center"/>
              <w:rPr>
                <w:color w:val="000000"/>
              </w:rPr>
            </w:pPr>
            <w:r>
              <w:rPr>
                <w:color w:val="000000"/>
              </w:rPr>
              <w:t>Treatment</w:t>
            </w:r>
          </w:p>
        </w:tc>
        <w:tc>
          <w:tcPr>
            <w:tcW w:w="0" w:type="auto"/>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594896" w:rsidRDefault="00594896" w:rsidP="009E369D">
            <w:pPr>
              <w:rPr>
                <w:color w:val="000000"/>
              </w:rPr>
            </w:pPr>
            <w:r>
              <w:rPr>
                <w:color w:val="000000"/>
              </w:rPr>
              <w:t>Vaccine</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594896" w:rsidRDefault="00594896" w:rsidP="009E369D">
            <w:pPr>
              <w:jc w:val="center"/>
              <w:rPr>
                <w:color w:val="000000"/>
              </w:rPr>
            </w:pPr>
            <w:r>
              <w:rPr>
                <w:color w:val="000000"/>
              </w:rPr>
              <w:t>14</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594896" w:rsidRDefault="00594896" w:rsidP="009E369D">
            <w:pPr>
              <w:jc w:val="center"/>
              <w:rPr>
                <w:color w:val="000000"/>
              </w:rPr>
            </w:pPr>
            <w:r>
              <w:rPr>
                <w:color w:val="000000"/>
              </w:rPr>
              <w:t>1,236</w:t>
            </w:r>
          </w:p>
        </w:tc>
        <w:tc>
          <w:tcPr>
            <w:tcW w:w="0" w:type="auto"/>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594896" w:rsidRDefault="00594896" w:rsidP="009E369D">
            <w:pPr>
              <w:jc w:val="center"/>
              <w:rPr>
                <w:color w:val="000000"/>
              </w:rPr>
            </w:pPr>
            <w:r>
              <w:rPr>
                <w:color w:val="000000"/>
              </w:rPr>
              <w:t>1,250</w:t>
            </w:r>
          </w:p>
        </w:tc>
      </w:tr>
      <w:tr w:rsidR="00594896" w:rsidTr="009E369D">
        <w:trPr>
          <w:trHeight w:val="315"/>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94896" w:rsidRDefault="00594896" w:rsidP="009E369D">
            <w:pPr>
              <w:rPr>
                <w:color w:val="000000"/>
              </w:rPr>
            </w:pP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594896" w:rsidRDefault="00594896" w:rsidP="009E369D">
            <w:pPr>
              <w:rPr>
                <w:color w:val="000000"/>
              </w:rPr>
            </w:pPr>
            <w:r>
              <w:rPr>
                <w:color w:val="000000"/>
              </w:rPr>
              <w:t>Placebo</w:t>
            </w:r>
          </w:p>
        </w:tc>
        <w:tc>
          <w:tcPr>
            <w:tcW w:w="0" w:type="auto"/>
            <w:tcBorders>
              <w:top w:val="nil"/>
              <w:left w:val="nil"/>
              <w:bottom w:val="nil"/>
              <w:right w:val="single" w:sz="4" w:space="0" w:color="auto"/>
            </w:tcBorders>
            <w:shd w:val="clear" w:color="auto" w:fill="auto"/>
            <w:noWrap/>
            <w:tcMar>
              <w:top w:w="17" w:type="dxa"/>
              <w:left w:w="17" w:type="dxa"/>
              <w:bottom w:w="0" w:type="dxa"/>
              <w:right w:w="17" w:type="dxa"/>
            </w:tcMar>
            <w:vAlign w:val="bottom"/>
          </w:tcPr>
          <w:p w:rsidR="00594896" w:rsidRDefault="00594896" w:rsidP="009E369D">
            <w:pPr>
              <w:jc w:val="center"/>
              <w:rPr>
                <w:color w:val="000000"/>
              </w:rPr>
            </w:pPr>
            <w:r>
              <w:rPr>
                <w:color w:val="000000"/>
              </w:rPr>
              <w:t>9</w:t>
            </w:r>
          </w:p>
        </w:tc>
        <w:tc>
          <w:tcPr>
            <w:tcW w:w="0" w:type="auto"/>
            <w:tcBorders>
              <w:top w:val="nil"/>
              <w:left w:val="nil"/>
              <w:bottom w:val="nil"/>
              <w:right w:val="single" w:sz="4" w:space="0" w:color="auto"/>
            </w:tcBorders>
            <w:shd w:val="clear" w:color="auto" w:fill="auto"/>
            <w:noWrap/>
            <w:tcMar>
              <w:top w:w="17" w:type="dxa"/>
              <w:left w:w="17" w:type="dxa"/>
              <w:bottom w:w="0" w:type="dxa"/>
              <w:right w:w="17" w:type="dxa"/>
            </w:tcMar>
            <w:vAlign w:val="bottom"/>
          </w:tcPr>
          <w:p w:rsidR="00594896" w:rsidRDefault="00594896" w:rsidP="009E369D">
            <w:pPr>
              <w:jc w:val="center"/>
              <w:rPr>
                <w:color w:val="000000"/>
              </w:rPr>
            </w:pPr>
            <w:r>
              <w:rPr>
                <w:color w:val="000000"/>
              </w:rPr>
              <w:t>1,235</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594896" w:rsidRDefault="00594896" w:rsidP="009E369D">
            <w:pPr>
              <w:jc w:val="center"/>
              <w:rPr>
                <w:color w:val="000000"/>
              </w:rPr>
            </w:pPr>
            <w:r>
              <w:rPr>
                <w:color w:val="000000"/>
              </w:rPr>
              <w:t>1,244</w:t>
            </w:r>
          </w:p>
        </w:tc>
      </w:tr>
      <w:tr w:rsidR="00594896" w:rsidTr="009E369D">
        <w:trPr>
          <w:trHeight w:val="315"/>
          <w:jc w:val="center"/>
        </w:trPr>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594896" w:rsidRDefault="00594896" w:rsidP="009E369D">
            <w:pPr>
              <w:rPr>
                <w:color w:val="000000"/>
              </w:rPr>
            </w:pPr>
          </w:p>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594896" w:rsidRDefault="00594896" w:rsidP="009E369D">
            <w:pP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594896" w:rsidRDefault="00594896" w:rsidP="009E369D">
            <w:pPr>
              <w:jc w:val="center"/>
              <w:rPr>
                <w:color w:val="000000"/>
              </w:rPr>
            </w:pPr>
            <w:r>
              <w:rPr>
                <w:color w:val="000000"/>
              </w:rPr>
              <w:t>23</w:t>
            </w:r>
          </w:p>
        </w:tc>
        <w:tc>
          <w:tcPr>
            <w:tcW w:w="0" w:type="auto"/>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594896" w:rsidRDefault="00594896" w:rsidP="009E369D">
            <w:pPr>
              <w:jc w:val="center"/>
              <w:rPr>
                <w:color w:val="000000"/>
              </w:rPr>
            </w:pPr>
            <w:r>
              <w:rPr>
                <w:color w:val="000000"/>
              </w:rPr>
              <w:t>2,471</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594896" w:rsidRDefault="00594896" w:rsidP="009E369D">
            <w:pPr>
              <w:jc w:val="center"/>
              <w:rPr>
                <w:color w:val="000000"/>
              </w:rPr>
            </w:pPr>
            <w:r>
              <w:rPr>
                <w:color w:val="000000"/>
              </w:rPr>
              <w:t>2,494</w:t>
            </w:r>
          </w:p>
        </w:tc>
      </w:tr>
    </w:tbl>
    <w:p w:rsidR="00594896" w:rsidRDefault="00594896" w:rsidP="00594896">
      <w:pPr>
        <w:pStyle w:val="ListParagraph"/>
      </w:pPr>
    </w:p>
    <w:p w:rsidR="00B61D0F" w:rsidRDefault="00594896" w:rsidP="00594896">
      <w:pPr>
        <w:pStyle w:val="ListParagraph"/>
      </w:pPr>
      <w:r>
        <w:t xml:space="preserve">Discuss if this version of the data or the previous version may be more appropriate to examine. </w:t>
      </w:r>
      <w:r w:rsidR="00B61D0F">
        <w:t>Are there any assumptions then that need to be made with the previous version</w:t>
      </w:r>
      <w:r w:rsidR="00147C69">
        <w:t xml:space="preserve"> of the data to make it appropriate</w:t>
      </w:r>
      <w:r w:rsidR="00B61D0F">
        <w:t xml:space="preserve">? </w:t>
      </w:r>
    </w:p>
    <w:p w:rsidR="001C1D88" w:rsidRDefault="001C1D88" w:rsidP="00B61D0F">
      <w:pPr>
        <w:pStyle w:val="ListParagraph"/>
      </w:pPr>
    </w:p>
    <w:p w:rsidR="001C1D88" w:rsidRDefault="001C1D88" w:rsidP="001C1D88">
      <w:pPr>
        <w:numPr>
          <w:ilvl w:val="0"/>
          <w:numId w:val="4"/>
        </w:numPr>
      </w:pPr>
      <w:r w:rsidRPr="004C5422">
        <w:t>(16 points) Testing</w:t>
      </w:r>
      <w:r>
        <w:t xml:space="preserve"> error also occurs in contingency table settings</w:t>
      </w:r>
      <w:r w:rsidR="0089251A">
        <w:t xml:space="preserve"> where</w:t>
      </w:r>
      <w:r>
        <w:t xml:space="preserve"> the response categorical variable Y can be misclassified. The grouping variable</w:t>
      </w:r>
      <w:r w:rsidR="001A1FCA">
        <w:t>,</w:t>
      </w:r>
      <w:r w:rsidR="009949FD">
        <w:t xml:space="preserve"> X</w:t>
      </w:r>
      <w:r w:rsidR="001A1FCA">
        <w:t>,</w:t>
      </w:r>
      <w:r>
        <w:t xml:space="preserve"> is recorded correctly. Below are two contingency tables given on p. 844 of </w:t>
      </w:r>
      <w:proofErr w:type="spellStart"/>
      <w:r>
        <w:t>Neuhaus</w:t>
      </w:r>
      <w:proofErr w:type="spellEnd"/>
      <w:r>
        <w:t xml:space="preserve"> (</w:t>
      </w:r>
      <w:proofErr w:type="spellStart"/>
      <w:r w:rsidRPr="00E477C3">
        <w:rPr>
          <w:i/>
        </w:rPr>
        <w:t>Biometrika</w:t>
      </w:r>
      <w:proofErr w:type="spellEnd"/>
      <w:r w:rsidR="009949FD">
        <w:t>, 1999) showing the true and misclassified responses, denoted as</w:t>
      </w:r>
      <w:r>
        <w:t xml:space="preserve"> </w:t>
      </w:r>
      <w:r w:rsidRPr="00216B54">
        <w:rPr>
          <w:rFonts w:cs="Arial"/>
          <w:position w:val="-4"/>
        </w:rPr>
        <w:object w:dxaOrig="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6pt" o:ole="">
            <v:imagedata r:id="rId12" o:title=""/>
          </v:shape>
          <o:OLEObject Type="Embed" ProgID="Equation.DSMT4" ShapeID="_x0000_i1025" DrawAspect="Content" ObjectID="_1453022613" r:id="rId13"/>
        </w:object>
      </w:r>
      <w:r>
        <w:rPr>
          <w:rFonts w:cs="Arial"/>
        </w:rPr>
        <w:t xml:space="preserve"> </w:t>
      </w:r>
      <w:r>
        <w:t xml:space="preserve">and </w:t>
      </w:r>
      <w:r w:rsidRPr="00216B54">
        <w:rPr>
          <w:rFonts w:cs="Arial"/>
        </w:rPr>
        <w:t>Y</w:t>
      </w:r>
      <w:r>
        <w:t xml:space="preserve">, </w:t>
      </w:r>
      <w:r w:rsidR="009949FD">
        <w:t>respectively</w:t>
      </w:r>
      <w:r>
        <w:t xml:space="preserve">.  </w:t>
      </w:r>
    </w:p>
    <w:p w:rsidR="001C1D88" w:rsidRDefault="001C1D88" w:rsidP="001C1D88"/>
    <w:tbl>
      <w:tblPr>
        <w:tblW w:w="0" w:type="auto"/>
        <w:jc w:val="center"/>
        <w:tblLook w:val="0000" w:firstRow="0" w:lastRow="0" w:firstColumn="0" w:lastColumn="0" w:noHBand="0" w:noVBand="0"/>
      </w:tblPr>
      <w:tblGrid>
        <w:gridCol w:w="377"/>
        <w:gridCol w:w="350"/>
        <w:gridCol w:w="483"/>
        <w:gridCol w:w="617"/>
        <w:gridCol w:w="617"/>
        <w:gridCol w:w="222"/>
        <w:gridCol w:w="377"/>
        <w:gridCol w:w="350"/>
        <w:gridCol w:w="483"/>
        <w:gridCol w:w="617"/>
        <w:gridCol w:w="617"/>
      </w:tblGrid>
      <w:tr w:rsidR="001C1D88" w:rsidRPr="00216B54" w:rsidTr="009E369D">
        <w:trPr>
          <w:trHeight w:val="107"/>
          <w:jc w:val="center"/>
        </w:trPr>
        <w:tc>
          <w:tcPr>
            <w:tcW w:w="0" w:type="auto"/>
            <w:gridSpan w:val="5"/>
            <w:tcBorders>
              <w:top w:val="nil"/>
              <w:left w:val="nil"/>
              <w:bottom w:val="nil"/>
            </w:tcBorders>
            <w:vAlign w:val="bottom"/>
          </w:tcPr>
          <w:p w:rsidR="001C1D88" w:rsidRPr="00216B54" w:rsidRDefault="001C1D88" w:rsidP="009E369D">
            <w:pPr>
              <w:rPr>
                <w:rFonts w:cs="Arial"/>
              </w:rPr>
            </w:pPr>
            <w:r>
              <w:rPr>
                <w:rFonts w:cs="Arial"/>
              </w:rPr>
              <w:t>Table #1</w:t>
            </w:r>
          </w:p>
        </w:tc>
        <w:tc>
          <w:tcPr>
            <w:tcW w:w="0" w:type="auto"/>
            <w:tcBorders>
              <w:bottom w:val="nil"/>
            </w:tcBorders>
          </w:tcPr>
          <w:p w:rsidR="001C1D88" w:rsidRPr="00216B54" w:rsidRDefault="001C1D88" w:rsidP="009E369D">
            <w:pPr>
              <w:rPr>
                <w:rFonts w:cs="Arial"/>
              </w:rPr>
            </w:pPr>
          </w:p>
        </w:tc>
        <w:tc>
          <w:tcPr>
            <w:tcW w:w="0" w:type="auto"/>
            <w:gridSpan w:val="5"/>
            <w:tcBorders>
              <w:bottom w:val="nil"/>
            </w:tcBorders>
            <w:shd w:val="clear" w:color="auto" w:fill="auto"/>
            <w:noWrap/>
            <w:vAlign w:val="bottom"/>
          </w:tcPr>
          <w:p w:rsidR="001C1D88" w:rsidRPr="00216B54" w:rsidRDefault="001C1D88" w:rsidP="009E369D">
            <w:pPr>
              <w:rPr>
                <w:rFonts w:cs="Arial"/>
              </w:rPr>
            </w:pPr>
            <w:r>
              <w:rPr>
                <w:rFonts w:cs="Arial"/>
              </w:rPr>
              <w:t>Table #2</w:t>
            </w:r>
          </w:p>
        </w:tc>
      </w:tr>
      <w:tr w:rsidR="001C1D88" w:rsidRPr="00216B54" w:rsidTr="009E369D">
        <w:trPr>
          <w:trHeight w:val="107"/>
          <w:jc w:val="center"/>
        </w:trPr>
        <w:tc>
          <w:tcPr>
            <w:tcW w:w="0" w:type="auto"/>
            <w:tcBorders>
              <w:top w:val="nil"/>
              <w:left w:val="nil"/>
              <w:bottom w:val="nil"/>
              <w:right w:val="nil"/>
            </w:tcBorders>
            <w:vAlign w:val="bottom"/>
          </w:tcPr>
          <w:p w:rsidR="001C1D88" w:rsidRPr="00216B54" w:rsidRDefault="001C1D88" w:rsidP="009E369D">
            <w:pPr>
              <w:rPr>
                <w:rFonts w:cs="Arial"/>
              </w:rPr>
            </w:pPr>
          </w:p>
        </w:tc>
        <w:tc>
          <w:tcPr>
            <w:tcW w:w="0" w:type="auto"/>
            <w:tcBorders>
              <w:top w:val="nil"/>
              <w:left w:val="nil"/>
              <w:bottom w:val="nil"/>
              <w:right w:val="single" w:sz="4" w:space="0" w:color="auto"/>
            </w:tcBorders>
            <w:vAlign w:val="bottom"/>
          </w:tcPr>
          <w:p w:rsidR="001C1D88" w:rsidRPr="00216B54" w:rsidRDefault="001C1D88" w:rsidP="009E369D">
            <w:pPr>
              <w:jc w:val="center"/>
              <w:rPr>
                <w:rFonts w:cs="Arial"/>
              </w:rPr>
            </w:pPr>
          </w:p>
        </w:tc>
        <w:tc>
          <w:tcPr>
            <w:tcW w:w="0" w:type="auto"/>
            <w:gridSpan w:val="2"/>
            <w:tcBorders>
              <w:top w:val="single" w:sz="4" w:space="0" w:color="auto"/>
              <w:left w:val="single" w:sz="4" w:space="0" w:color="auto"/>
              <w:right w:val="single" w:sz="4" w:space="0" w:color="auto"/>
            </w:tcBorders>
            <w:vAlign w:val="bottom"/>
          </w:tcPr>
          <w:p w:rsidR="001C1D88" w:rsidRPr="00216B54" w:rsidRDefault="001C1D88" w:rsidP="009E369D">
            <w:pPr>
              <w:jc w:val="center"/>
              <w:rPr>
                <w:rFonts w:cs="Arial"/>
              </w:rPr>
            </w:pPr>
            <w:r w:rsidRPr="00216B54">
              <w:rPr>
                <w:rFonts w:cs="Arial"/>
                <w:position w:val="-4"/>
              </w:rPr>
              <w:object w:dxaOrig="240" w:dyaOrig="320">
                <v:shape id="_x0000_i1035" type="#_x0000_t75" style="width:12pt;height:16pt" o:ole="">
                  <v:imagedata r:id="rId12" o:title=""/>
                </v:shape>
                <o:OLEObject Type="Embed" ProgID="Equation.DSMT4" ShapeID="_x0000_i1035" DrawAspect="Content" ObjectID="_1453022614" r:id="rId14"/>
              </w:object>
            </w:r>
          </w:p>
        </w:tc>
        <w:tc>
          <w:tcPr>
            <w:tcW w:w="0" w:type="auto"/>
            <w:tcBorders>
              <w:top w:val="nil"/>
              <w:left w:val="single" w:sz="4" w:space="0" w:color="auto"/>
              <w:bottom w:val="nil"/>
              <w:right w:val="nil"/>
            </w:tcBorders>
          </w:tcPr>
          <w:p w:rsidR="001C1D88" w:rsidRPr="00216B54" w:rsidRDefault="001C1D88" w:rsidP="009E369D">
            <w:pPr>
              <w:rPr>
                <w:rFonts w:cs="Arial"/>
              </w:rPr>
            </w:pPr>
          </w:p>
        </w:tc>
        <w:tc>
          <w:tcPr>
            <w:tcW w:w="0" w:type="auto"/>
            <w:tcBorders>
              <w:top w:val="nil"/>
              <w:left w:val="nil"/>
              <w:bottom w:val="nil"/>
              <w:right w:val="nil"/>
            </w:tcBorders>
          </w:tcPr>
          <w:p w:rsidR="001C1D88" w:rsidRPr="00216B54" w:rsidRDefault="001C1D88" w:rsidP="009E369D">
            <w:pPr>
              <w:rPr>
                <w:rFonts w:cs="Arial"/>
              </w:rPr>
            </w:pPr>
          </w:p>
        </w:tc>
        <w:tc>
          <w:tcPr>
            <w:tcW w:w="0" w:type="auto"/>
            <w:tcBorders>
              <w:top w:val="nil"/>
              <w:left w:val="nil"/>
              <w:bottom w:val="nil"/>
              <w:right w:val="nil"/>
            </w:tcBorders>
            <w:shd w:val="clear" w:color="auto" w:fill="auto"/>
            <w:noWrap/>
            <w:vAlign w:val="bottom"/>
          </w:tcPr>
          <w:p w:rsidR="001C1D88" w:rsidRPr="00216B54" w:rsidRDefault="001C1D88" w:rsidP="009E369D">
            <w:pPr>
              <w:rPr>
                <w:rFonts w:cs="Arial"/>
              </w:rPr>
            </w:pPr>
          </w:p>
        </w:tc>
        <w:tc>
          <w:tcPr>
            <w:tcW w:w="0" w:type="auto"/>
            <w:tcBorders>
              <w:top w:val="nil"/>
              <w:left w:val="nil"/>
              <w:bottom w:val="nil"/>
              <w:right w:val="nil"/>
            </w:tcBorders>
            <w:shd w:val="clear" w:color="auto" w:fill="auto"/>
            <w:noWrap/>
            <w:vAlign w:val="bottom"/>
          </w:tcPr>
          <w:p w:rsidR="001C1D88" w:rsidRPr="00216B54" w:rsidRDefault="001C1D88" w:rsidP="009E369D">
            <w:pPr>
              <w:jc w:val="center"/>
              <w:rPr>
                <w:rFonts w:cs="Arial"/>
              </w:rPr>
            </w:pPr>
          </w:p>
        </w:tc>
        <w:tc>
          <w:tcPr>
            <w:tcW w:w="0" w:type="auto"/>
            <w:gridSpan w:val="2"/>
            <w:tcBorders>
              <w:top w:val="single" w:sz="4" w:space="0" w:color="auto"/>
              <w:left w:val="single" w:sz="4" w:space="0" w:color="auto"/>
              <w:bottom w:val="nil"/>
              <w:right w:val="single" w:sz="4" w:space="0" w:color="auto"/>
            </w:tcBorders>
            <w:shd w:val="clear" w:color="auto" w:fill="auto"/>
            <w:noWrap/>
            <w:vAlign w:val="bottom"/>
          </w:tcPr>
          <w:p w:rsidR="001C1D88" w:rsidRPr="00216B54" w:rsidRDefault="001C1D88" w:rsidP="009E369D">
            <w:pPr>
              <w:jc w:val="center"/>
              <w:rPr>
                <w:rFonts w:cs="Arial"/>
              </w:rPr>
            </w:pPr>
            <w:r w:rsidRPr="00216B54">
              <w:rPr>
                <w:rFonts w:cs="Arial"/>
              </w:rPr>
              <w:t>Y</w:t>
            </w:r>
          </w:p>
        </w:tc>
        <w:tc>
          <w:tcPr>
            <w:tcW w:w="0" w:type="auto"/>
            <w:tcBorders>
              <w:top w:val="nil"/>
              <w:left w:val="nil"/>
              <w:bottom w:val="nil"/>
              <w:right w:val="nil"/>
            </w:tcBorders>
            <w:shd w:val="clear" w:color="auto" w:fill="auto"/>
            <w:noWrap/>
            <w:vAlign w:val="bottom"/>
          </w:tcPr>
          <w:p w:rsidR="001C1D88" w:rsidRPr="00216B54" w:rsidRDefault="001C1D88" w:rsidP="009E369D">
            <w:pPr>
              <w:rPr>
                <w:rFonts w:cs="Arial"/>
              </w:rPr>
            </w:pPr>
          </w:p>
        </w:tc>
      </w:tr>
      <w:tr w:rsidR="001C1D88" w:rsidRPr="00216B54" w:rsidTr="009E369D">
        <w:trPr>
          <w:trHeight w:val="135"/>
          <w:jc w:val="center"/>
        </w:trPr>
        <w:tc>
          <w:tcPr>
            <w:tcW w:w="0" w:type="auto"/>
            <w:tcBorders>
              <w:top w:val="nil"/>
              <w:left w:val="nil"/>
              <w:bottom w:val="single" w:sz="4" w:space="0" w:color="auto"/>
              <w:right w:val="nil"/>
            </w:tcBorders>
            <w:vAlign w:val="bottom"/>
          </w:tcPr>
          <w:p w:rsidR="001C1D88" w:rsidRPr="00216B54" w:rsidRDefault="001C1D88" w:rsidP="009E369D">
            <w:pPr>
              <w:rPr>
                <w:rFonts w:cs="Arial"/>
              </w:rPr>
            </w:pPr>
          </w:p>
        </w:tc>
        <w:tc>
          <w:tcPr>
            <w:tcW w:w="0" w:type="auto"/>
            <w:tcBorders>
              <w:top w:val="nil"/>
              <w:left w:val="nil"/>
              <w:bottom w:val="single" w:sz="4" w:space="0" w:color="auto"/>
              <w:right w:val="single" w:sz="4" w:space="0" w:color="auto"/>
            </w:tcBorders>
            <w:vAlign w:val="bottom"/>
          </w:tcPr>
          <w:p w:rsidR="001C1D88" w:rsidRPr="00216B54" w:rsidRDefault="001C1D88" w:rsidP="009E369D">
            <w:pPr>
              <w:jc w:val="center"/>
              <w:rPr>
                <w:rFonts w:cs="Arial"/>
              </w:rPr>
            </w:pPr>
          </w:p>
        </w:tc>
        <w:tc>
          <w:tcPr>
            <w:tcW w:w="0" w:type="auto"/>
            <w:tcBorders>
              <w:top w:val="nil"/>
              <w:left w:val="single" w:sz="4" w:space="0" w:color="auto"/>
              <w:bottom w:val="single" w:sz="4" w:space="0" w:color="auto"/>
              <w:right w:val="single" w:sz="4" w:space="0" w:color="auto"/>
            </w:tcBorders>
            <w:vAlign w:val="bottom"/>
          </w:tcPr>
          <w:p w:rsidR="001C1D88" w:rsidRPr="00216B54" w:rsidRDefault="001C1D88" w:rsidP="009E369D">
            <w:pPr>
              <w:jc w:val="center"/>
              <w:rPr>
                <w:rFonts w:cs="Arial"/>
              </w:rPr>
            </w:pPr>
            <w:r w:rsidRPr="00216B54">
              <w:rPr>
                <w:rFonts w:cs="Arial"/>
              </w:rPr>
              <w:t>1</w:t>
            </w:r>
          </w:p>
        </w:tc>
        <w:tc>
          <w:tcPr>
            <w:tcW w:w="0" w:type="auto"/>
            <w:tcBorders>
              <w:top w:val="nil"/>
              <w:left w:val="single" w:sz="4" w:space="0" w:color="auto"/>
              <w:bottom w:val="single" w:sz="4" w:space="0" w:color="auto"/>
              <w:right w:val="single" w:sz="4" w:space="0" w:color="auto"/>
            </w:tcBorders>
            <w:vAlign w:val="bottom"/>
          </w:tcPr>
          <w:p w:rsidR="001C1D88" w:rsidRPr="00216B54" w:rsidRDefault="001C1D88" w:rsidP="009E369D">
            <w:pPr>
              <w:jc w:val="center"/>
              <w:rPr>
                <w:rFonts w:cs="Arial"/>
              </w:rPr>
            </w:pPr>
            <w:r>
              <w:rPr>
                <w:rFonts w:cs="Arial"/>
              </w:rPr>
              <w:t>0</w:t>
            </w:r>
          </w:p>
        </w:tc>
        <w:tc>
          <w:tcPr>
            <w:tcW w:w="0" w:type="auto"/>
            <w:tcBorders>
              <w:top w:val="nil"/>
              <w:left w:val="single" w:sz="4" w:space="0" w:color="auto"/>
              <w:bottom w:val="nil"/>
              <w:right w:val="nil"/>
            </w:tcBorders>
            <w:vAlign w:val="bottom"/>
          </w:tcPr>
          <w:p w:rsidR="001C1D88" w:rsidRPr="00216B54" w:rsidRDefault="001C1D88" w:rsidP="009E369D">
            <w:pPr>
              <w:rPr>
                <w:rFonts w:cs="Arial"/>
              </w:rPr>
            </w:pPr>
          </w:p>
        </w:tc>
        <w:tc>
          <w:tcPr>
            <w:tcW w:w="0" w:type="auto"/>
            <w:tcBorders>
              <w:top w:val="nil"/>
              <w:left w:val="nil"/>
              <w:right w:val="nil"/>
            </w:tcBorders>
          </w:tcPr>
          <w:p w:rsidR="001C1D88" w:rsidRPr="00216B54" w:rsidRDefault="001C1D88" w:rsidP="009E369D">
            <w:pPr>
              <w:rPr>
                <w:rFonts w:cs="Arial"/>
              </w:rPr>
            </w:pPr>
          </w:p>
        </w:tc>
        <w:tc>
          <w:tcPr>
            <w:tcW w:w="0" w:type="auto"/>
            <w:tcBorders>
              <w:top w:val="nil"/>
              <w:left w:val="nil"/>
              <w:bottom w:val="nil"/>
              <w:right w:val="nil"/>
            </w:tcBorders>
            <w:shd w:val="clear" w:color="auto" w:fill="auto"/>
            <w:noWrap/>
            <w:vAlign w:val="bottom"/>
          </w:tcPr>
          <w:p w:rsidR="001C1D88" w:rsidRPr="00216B54" w:rsidRDefault="001C1D88" w:rsidP="009E369D">
            <w:pPr>
              <w:rPr>
                <w:rFonts w:cs="Arial"/>
              </w:rPr>
            </w:pPr>
          </w:p>
        </w:tc>
        <w:tc>
          <w:tcPr>
            <w:tcW w:w="0" w:type="auto"/>
            <w:tcBorders>
              <w:top w:val="nil"/>
              <w:left w:val="nil"/>
              <w:bottom w:val="nil"/>
              <w:right w:val="nil"/>
            </w:tcBorders>
            <w:shd w:val="clear" w:color="auto" w:fill="auto"/>
            <w:noWrap/>
            <w:vAlign w:val="bottom"/>
          </w:tcPr>
          <w:p w:rsidR="001C1D88" w:rsidRPr="00216B54" w:rsidRDefault="001C1D88" w:rsidP="009E369D">
            <w:pPr>
              <w:jc w:val="center"/>
              <w:rPr>
                <w:rFonts w:cs="Arial"/>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rsidR="001C1D88" w:rsidRPr="00216B54" w:rsidRDefault="001C1D88" w:rsidP="009E369D">
            <w:pPr>
              <w:jc w:val="center"/>
              <w:rPr>
                <w:rFonts w:cs="Arial"/>
              </w:rPr>
            </w:pPr>
            <w:r w:rsidRPr="00216B54">
              <w:rPr>
                <w:rFonts w:cs="Arial"/>
              </w:rPr>
              <w:t>1</w:t>
            </w:r>
          </w:p>
        </w:tc>
        <w:tc>
          <w:tcPr>
            <w:tcW w:w="0" w:type="auto"/>
            <w:tcBorders>
              <w:top w:val="nil"/>
              <w:left w:val="nil"/>
              <w:bottom w:val="single" w:sz="4" w:space="0" w:color="auto"/>
              <w:right w:val="single" w:sz="4" w:space="0" w:color="auto"/>
            </w:tcBorders>
            <w:shd w:val="clear" w:color="auto" w:fill="auto"/>
            <w:noWrap/>
            <w:vAlign w:val="bottom"/>
          </w:tcPr>
          <w:p w:rsidR="001C1D88" w:rsidRPr="00216B54" w:rsidRDefault="001C1D88" w:rsidP="009E369D">
            <w:pPr>
              <w:jc w:val="center"/>
              <w:rPr>
                <w:rFonts w:cs="Arial"/>
              </w:rPr>
            </w:pPr>
            <w:r>
              <w:rPr>
                <w:rFonts w:cs="Arial"/>
              </w:rPr>
              <w:t>0</w:t>
            </w:r>
          </w:p>
        </w:tc>
        <w:tc>
          <w:tcPr>
            <w:tcW w:w="0" w:type="auto"/>
            <w:tcBorders>
              <w:top w:val="nil"/>
              <w:left w:val="nil"/>
              <w:bottom w:val="nil"/>
              <w:right w:val="nil"/>
            </w:tcBorders>
            <w:shd w:val="clear" w:color="auto" w:fill="auto"/>
            <w:noWrap/>
            <w:vAlign w:val="bottom"/>
          </w:tcPr>
          <w:p w:rsidR="001C1D88" w:rsidRPr="00216B54" w:rsidRDefault="001C1D88" w:rsidP="009E369D">
            <w:pPr>
              <w:rPr>
                <w:rFonts w:cs="Arial"/>
              </w:rPr>
            </w:pPr>
          </w:p>
        </w:tc>
      </w:tr>
      <w:tr w:rsidR="001C1D88" w:rsidRPr="00216B54" w:rsidTr="009E369D">
        <w:trPr>
          <w:trHeight w:val="70"/>
          <w:jc w:val="center"/>
        </w:trPr>
        <w:tc>
          <w:tcPr>
            <w:tcW w:w="0" w:type="auto"/>
            <w:vMerge w:val="restart"/>
            <w:tcBorders>
              <w:top w:val="single" w:sz="4" w:space="0" w:color="auto"/>
              <w:left w:val="single" w:sz="4" w:space="0" w:color="auto"/>
            </w:tcBorders>
            <w:vAlign w:val="center"/>
          </w:tcPr>
          <w:p w:rsidR="001C1D88" w:rsidRPr="00216B54" w:rsidRDefault="001C1D88" w:rsidP="009E369D">
            <w:pPr>
              <w:jc w:val="center"/>
              <w:rPr>
                <w:rFonts w:cs="Arial"/>
              </w:rPr>
            </w:pPr>
            <w:r w:rsidRPr="00216B54">
              <w:rPr>
                <w:rFonts w:cs="Arial"/>
              </w:rPr>
              <w:t>X</w:t>
            </w:r>
          </w:p>
        </w:tc>
        <w:tc>
          <w:tcPr>
            <w:tcW w:w="0" w:type="auto"/>
            <w:tcBorders>
              <w:top w:val="single" w:sz="4" w:space="0" w:color="auto"/>
              <w:bottom w:val="single" w:sz="4" w:space="0" w:color="auto"/>
              <w:right w:val="nil"/>
            </w:tcBorders>
            <w:vAlign w:val="bottom"/>
          </w:tcPr>
          <w:p w:rsidR="001C1D88" w:rsidRPr="00216B54" w:rsidRDefault="001C1D88" w:rsidP="009E369D">
            <w:pPr>
              <w:jc w:val="center"/>
              <w:rPr>
                <w:rFonts w:cs="Arial"/>
              </w:rPr>
            </w:pPr>
            <w:r w:rsidRPr="00216B54">
              <w:rPr>
                <w:rFonts w:cs="Arial"/>
              </w:rPr>
              <w:t>1</w:t>
            </w:r>
          </w:p>
        </w:tc>
        <w:tc>
          <w:tcPr>
            <w:tcW w:w="0" w:type="auto"/>
            <w:tcBorders>
              <w:top w:val="single" w:sz="4" w:space="0" w:color="auto"/>
              <w:left w:val="single" w:sz="4" w:space="0" w:color="auto"/>
              <w:bottom w:val="single" w:sz="4" w:space="0" w:color="auto"/>
              <w:right w:val="nil"/>
            </w:tcBorders>
            <w:vAlign w:val="bottom"/>
          </w:tcPr>
          <w:p w:rsidR="001C1D88" w:rsidRPr="00181896" w:rsidRDefault="001C1D88" w:rsidP="009E369D">
            <w:pPr>
              <w:jc w:val="center"/>
              <w:rPr>
                <w:rFonts w:cs="Arial"/>
              </w:rPr>
            </w:pPr>
            <w:r w:rsidRPr="00181896">
              <w:rPr>
                <w:rFonts w:cs="Arial"/>
              </w:rPr>
              <w:t>40</w:t>
            </w:r>
          </w:p>
        </w:tc>
        <w:tc>
          <w:tcPr>
            <w:tcW w:w="0" w:type="auto"/>
            <w:tcBorders>
              <w:top w:val="single" w:sz="4" w:space="0" w:color="auto"/>
              <w:left w:val="single" w:sz="4" w:space="0" w:color="auto"/>
              <w:bottom w:val="single" w:sz="4" w:space="0" w:color="auto"/>
              <w:right w:val="nil"/>
            </w:tcBorders>
            <w:vAlign w:val="bottom"/>
          </w:tcPr>
          <w:p w:rsidR="001C1D88" w:rsidRPr="00181896" w:rsidRDefault="001C1D88" w:rsidP="009E369D">
            <w:pPr>
              <w:jc w:val="center"/>
              <w:rPr>
                <w:rFonts w:cs="Arial"/>
              </w:rPr>
            </w:pPr>
            <w:r>
              <w:rPr>
                <w:rFonts w:cs="Arial"/>
              </w:rPr>
              <w:t>60</w:t>
            </w:r>
          </w:p>
        </w:tc>
        <w:tc>
          <w:tcPr>
            <w:tcW w:w="0" w:type="auto"/>
            <w:tcBorders>
              <w:top w:val="single" w:sz="4" w:space="0" w:color="auto"/>
              <w:left w:val="single" w:sz="4" w:space="0" w:color="auto"/>
              <w:bottom w:val="single" w:sz="4" w:space="0" w:color="auto"/>
              <w:right w:val="nil"/>
            </w:tcBorders>
            <w:vAlign w:val="bottom"/>
          </w:tcPr>
          <w:p w:rsidR="001C1D88" w:rsidRPr="00181896" w:rsidRDefault="001C1D88" w:rsidP="009E369D">
            <w:pPr>
              <w:jc w:val="center"/>
              <w:rPr>
                <w:rFonts w:cs="Arial"/>
              </w:rPr>
            </w:pPr>
            <w:r>
              <w:rPr>
                <w:rFonts w:cs="Arial"/>
              </w:rPr>
              <w:t>100</w:t>
            </w:r>
          </w:p>
        </w:tc>
        <w:tc>
          <w:tcPr>
            <w:tcW w:w="0" w:type="auto"/>
            <w:tcBorders>
              <w:left w:val="single" w:sz="4" w:space="0" w:color="auto"/>
              <w:right w:val="nil"/>
            </w:tcBorders>
          </w:tcPr>
          <w:p w:rsidR="001C1D88" w:rsidRPr="00216B54" w:rsidRDefault="001C1D88" w:rsidP="009E369D">
            <w:pPr>
              <w:jc w:val="center"/>
              <w:rPr>
                <w:rFonts w:cs="Arial"/>
              </w:rPr>
            </w:pP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tcPr>
          <w:p w:rsidR="001C1D88" w:rsidRPr="00216B54" w:rsidRDefault="001C1D88" w:rsidP="009E369D">
            <w:pPr>
              <w:jc w:val="center"/>
              <w:rPr>
                <w:rFonts w:cs="Arial"/>
              </w:rPr>
            </w:pPr>
            <w:r w:rsidRPr="00216B54">
              <w:rPr>
                <w:rFonts w:cs="Arial"/>
              </w:rPr>
              <w:t>X</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1C1D88" w:rsidRPr="00216B54" w:rsidRDefault="001C1D88" w:rsidP="009E369D">
            <w:pPr>
              <w:jc w:val="center"/>
              <w:rPr>
                <w:rFonts w:cs="Arial"/>
              </w:rPr>
            </w:pPr>
            <w:r w:rsidRPr="00216B54">
              <w:rPr>
                <w:rFonts w:cs="Arial"/>
              </w:rPr>
              <w:t>1</w:t>
            </w:r>
          </w:p>
        </w:tc>
        <w:tc>
          <w:tcPr>
            <w:tcW w:w="0" w:type="auto"/>
            <w:tcBorders>
              <w:top w:val="nil"/>
              <w:left w:val="nil"/>
              <w:bottom w:val="single" w:sz="4" w:space="0" w:color="auto"/>
              <w:right w:val="single" w:sz="4" w:space="0" w:color="auto"/>
            </w:tcBorders>
            <w:shd w:val="clear" w:color="auto" w:fill="auto"/>
            <w:noWrap/>
            <w:vAlign w:val="bottom"/>
          </w:tcPr>
          <w:p w:rsidR="001C1D88" w:rsidRPr="00181896" w:rsidRDefault="001C1D88" w:rsidP="009E369D">
            <w:pPr>
              <w:jc w:val="center"/>
              <w:rPr>
                <w:rFonts w:cs="Arial"/>
              </w:rPr>
            </w:pPr>
            <w:r w:rsidRPr="00181896">
              <w:rPr>
                <w:rFonts w:cs="Arial"/>
              </w:rPr>
              <w:t>38</w:t>
            </w:r>
          </w:p>
        </w:tc>
        <w:tc>
          <w:tcPr>
            <w:tcW w:w="0" w:type="auto"/>
            <w:tcBorders>
              <w:top w:val="nil"/>
              <w:left w:val="nil"/>
              <w:bottom w:val="single" w:sz="4" w:space="0" w:color="auto"/>
              <w:right w:val="single" w:sz="4" w:space="0" w:color="auto"/>
            </w:tcBorders>
            <w:shd w:val="clear" w:color="auto" w:fill="auto"/>
            <w:noWrap/>
            <w:vAlign w:val="bottom"/>
          </w:tcPr>
          <w:p w:rsidR="001C1D88" w:rsidRPr="00181896" w:rsidRDefault="001C1D88" w:rsidP="009E369D">
            <w:pPr>
              <w:jc w:val="center"/>
              <w:rPr>
                <w:rFonts w:cs="Arial"/>
              </w:rPr>
            </w:pPr>
            <w:r w:rsidRPr="00181896">
              <w:rPr>
                <w:rFonts w:cs="Arial"/>
              </w:rPr>
              <w:t>62</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1C1D88" w:rsidRPr="00181896" w:rsidRDefault="001C1D88" w:rsidP="009E369D">
            <w:pPr>
              <w:jc w:val="center"/>
              <w:rPr>
                <w:rFonts w:cs="Arial"/>
              </w:rPr>
            </w:pPr>
            <w:r>
              <w:rPr>
                <w:rFonts w:cs="Arial"/>
              </w:rPr>
              <w:t>100</w:t>
            </w:r>
          </w:p>
        </w:tc>
      </w:tr>
      <w:tr w:rsidR="001C1D88" w:rsidRPr="00216B54" w:rsidTr="009E369D">
        <w:trPr>
          <w:trHeight w:val="80"/>
          <w:jc w:val="center"/>
        </w:trPr>
        <w:tc>
          <w:tcPr>
            <w:tcW w:w="0" w:type="auto"/>
            <w:vMerge/>
            <w:tcBorders>
              <w:left w:val="single" w:sz="4" w:space="0" w:color="auto"/>
              <w:bottom w:val="single" w:sz="4" w:space="0" w:color="auto"/>
            </w:tcBorders>
            <w:vAlign w:val="center"/>
          </w:tcPr>
          <w:p w:rsidR="001C1D88" w:rsidRPr="00216B54" w:rsidRDefault="001C1D88" w:rsidP="009E369D">
            <w:pPr>
              <w:rPr>
                <w:rFonts w:cs="Arial"/>
              </w:rPr>
            </w:pPr>
          </w:p>
        </w:tc>
        <w:tc>
          <w:tcPr>
            <w:tcW w:w="0" w:type="auto"/>
            <w:tcBorders>
              <w:top w:val="single" w:sz="4" w:space="0" w:color="auto"/>
              <w:bottom w:val="single" w:sz="4" w:space="0" w:color="auto"/>
              <w:right w:val="nil"/>
            </w:tcBorders>
            <w:vAlign w:val="bottom"/>
          </w:tcPr>
          <w:p w:rsidR="001C1D88" w:rsidRPr="00216B54" w:rsidRDefault="009E369D" w:rsidP="009E369D">
            <w:pPr>
              <w:jc w:val="center"/>
              <w:rPr>
                <w:rFonts w:cs="Arial"/>
              </w:rPr>
            </w:pPr>
            <w:r>
              <w:rPr>
                <w:rFonts w:cs="Arial"/>
              </w:rPr>
              <w:t>2</w:t>
            </w:r>
          </w:p>
        </w:tc>
        <w:tc>
          <w:tcPr>
            <w:tcW w:w="0" w:type="auto"/>
            <w:tcBorders>
              <w:top w:val="single" w:sz="4" w:space="0" w:color="auto"/>
              <w:left w:val="single" w:sz="4" w:space="0" w:color="auto"/>
              <w:bottom w:val="single" w:sz="4" w:space="0" w:color="auto"/>
              <w:right w:val="nil"/>
            </w:tcBorders>
            <w:vAlign w:val="bottom"/>
          </w:tcPr>
          <w:p w:rsidR="001C1D88" w:rsidRPr="00181896" w:rsidRDefault="001C1D88" w:rsidP="009E369D">
            <w:pPr>
              <w:jc w:val="center"/>
              <w:rPr>
                <w:rFonts w:cs="Arial"/>
              </w:rPr>
            </w:pPr>
            <w:r w:rsidRPr="00181896">
              <w:rPr>
                <w:rFonts w:cs="Arial"/>
              </w:rPr>
              <w:t>20</w:t>
            </w:r>
          </w:p>
        </w:tc>
        <w:tc>
          <w:tcPr>
            <w:tcW w:w="0" w:type="auto"/>
            <w:tcBorders>
              <w:top w:val="single" w:sz="4" w:space="0" w:color="auto"/>
              <w:left w:val="single" w:sz="4" w:space="0" w:color="auto"/>
              <w:bottom w:val="single" w:sz="4" w:space="0" w:color="auto"/>
              <w:right w:val="nil"/>
            </w:tcBorders>
            <w:vAlign w:val="bottom"/>
          </w:tcPr>
          <w:p w:rsidR="001C1D88" w:rsidRPr="00181896" w:rsidRDefault="001C1D88" w:rsidP="009E369D">
            <w:pPr>
              <w:jc w:val="center"/>
              <w:rPr>
                <w:rFonts w:cs="Arial"/>
              </w:rPr>
            </w:pPr>
            <w:r w:rsidRPr="00181896">
              <w:rPr>
                <w:rFonts w:cs="Arial"/>
              </w:rPr>
              <w:t>80</w:t>
            </w:r>
          </w:p>
        </w:tc>
        <w:tc>
          <w:tcPr>
            <w:tcW w:w="0" w:type="auto"/>
            <w:tcBorders>
              <w:top w:val="single" w:sz="4" w:space="0" w:color="auto"/>
              <w:left w:val="single" w:sz="4" w:space="0" w:color="auto"/>
              <w:bottom w:val="single" w:sz="4" w:space="0" w:color="auto"/>
              <w:right w:val="nil"/>
            </w:tcBorders>
            <w:vAlign w:val="bottom"/>
          </w:tcPr>
          <w:p w:rsidR="001C1D88" w:rsidRPr="00181896" w:rsidRDefault="001C1D88" w:rsidP="009E369D">
            <w:pPr>
              <w:jc w:val="center"/>
              <w:rPr>
                <w:rFonts w:cs="Arial"/>
              </w:rPr>
            </w:pPr>
            <w:r w:rsidRPr="00181896">
              <w:rPr>
                <w:rFonts w:cs="Arial"/>
              </w:rPr>
              <w:t>1</w:t>
            </w:r>
            <w:r>
              <w:rPr>
                <w:rFonts w:cs="Arial"/>
              </w:rPr>
              <w:t>00</w:t>
            </w:r>
          </w:p>
        </w:tc>
        <w:tc>
          <w:tcPr>
            <w:tcW w:w="0" w:type="auto"/>
            <w:tcBorders>
              <w:left w:val="single" w:sz="4" w:space="0" w:color="auto"/>
              <w:right w:val="nil"/>
            </w:tcBorders>
          </w:tcPr>
          <w:p w:rsidR="001C1D88" w:rsidRPr="00216B54" w:rsidRDefault="001C1D88" w:rsidP="009E369D">
            <w:pPr>
              <w:rPr>
                <w:rFonts w:cs="Arial"/>
              </w:rPr>
            </w:pPr>
          </w:p>
        </w:tc>
        <w:tc>
          <w:tcPr>
            <w:tcW w:w="0" w:type="auto"/>
            <w:vMerge/>
            <w:tcBorders>
              <w:top w:val="single" w:sz="4" w:space="0" w:color="auto"/>
              <w:left w:val="single" w:sz="4" w:space="0" w:color="auto"/>
              <w:bottom w:val="single" w:sz="4" w:space="0" w:color="auto"/>
              <w:right w:val="nil"/>
            </w:tcBorders>
            <w:shd w:val="clear" w:color="auto" w:fill="auto"/>
            <w:vAlign w:val="center"/>
          </w:tcPr>
          <w:p w:rsidR="001C1D88" w:rsidRPr="00216B54" w:rsidRDefault="001C1D88" w:rsidP="009E369D">
            <w:pPr>
              <w:rPr>
                <w:rFonts w:cs="Arial"/>
              </w:rPr>
            </w:pPr>
          </w:p>
        </w:tc>
        <w:tc>
          <w:tcPr>
            <w:tcW w:w="0" w:type="auto"/>
            <w:tcBorders>
              <w:top w:val="nil"/>
              <w:left w:val="nil"/>
              <w:bottom w:val="single" w:sz="4" w:space="0" w:color="auto"/>
              <w:right w:val="single" w:sz="4" w:space="0" w:color="auto"/>
            </w:tcBorders>
            <w:shd w:val="clear" w:color="auto" w:fill="auto"/>
            <w:noWrap/>
            <w:vAlign w:val="bottom"/>
          </w:tcPr>
          <w:p w:rsidR="001C1D88" w:rsidRPr="00216B54" w:rsidRDefault="009E369D" w:rsidP="009E369D">
            <w:pPr>
              <w:jc w:val="center"/>
              <w:rPr>
                <w:rFonts w:cs="Arial"/>
              </w:rPr>
            </w:pPr>
            <w:r>
              <w:rPr>
                <w:rFonts w:cs="Arial"/>
              </w:rPr>
              <w:t>2</w:t>
            </w:r>
          </w:p>
        </w:tc>
        <w:tc>
          <w:tcPr>
            <w:tcW w:w="0" w:type="auto"/>
            <w:tcBorders>
              <w:top w:val="nil"/>
              <w:left w:val="nil"/>
              <w:bottom w:val="single" w:sz="4" w:space="0" w:color="auto"/>
              <w:right w:val="single" w:sz="4" w:space="0" w:color="auto"/>
            </w:tcBorders>
            <w:shd w:val="clear" w:color="auto" w:fill="auto"/>
            <w:noWrap/>
            <w:vAlign w:val="bottom"/>
          </w:tcPr>
          <w:p w:rsidR="001C1D88" w:rsidRPr="00181896" w:rsidRDefault="001C1D88" w:rsidP="009E369D">
            <w:pPr>
              <w:jc w:val="center"/>
              <w:rPr>
                <w:rFonts w:cs="Arial"/>
              </w:rPr>
            </w:pPr>
            <w:r w:rsidRPr="00181896">
              <w:rPr>
                <w:rFonts w:cs="Arial"/>
              </w:rPr>
              <w:t>24</w:t>
            </w:r>
          </w:p>
        </w:tc>
        <w:tc>
          <w:tcPr>
            <w:tcW w:w="0" w:type="auto"/>
            <w:tcBorders>
              <w:top w:val="nil"/>
              <w:left w:val="nil"/>
              <w:bottom w:val="single" w:sz="4" w:space="0" w:color="auto"/>
              <w:right w:val="single" w:sz="4" w:space="0" w:color="auto"/>
            </w:tcBorders>
            <w:shd w:val="clear" w:color="auto" w:fill="auto"/>
            <w:noWrap/>
            <w:vAlign w:val="bottom"/>
          </w:tcPr>
          <w:p w:rsidR="001C1D88" w:rsidRPr="00181896" w:rsidRDefault="001C1D88" w:rsidP="009E369D">
            <w:pPr>
              <w:jc w:val="center"/>
              <w:rPr>
                <w:rFonts w:cs="Arial"/>
              </w:rPr>
            </w:pPr>
            <w:r w:rsidRPr="00181896">
              <w:rPr>
                <w:rFonts w:cs="Arial"/>
              </w:rPr>
              <w:t>76</w:t>
            </w:r>
          </w:p>
        </w:tc>
        <w:tc>
          <w:tcPr>
            <w:tcW w:w="0" w:type="auto"/>
            <w:tcBorders>
              <w:top w:val="nil"/>
              <w:left w:val="nil"/>
              <w:bottom w:val="single" w:sz="4" w:space="0" w:color="auto"/>
              <w:right w:val="single" w:sz="4" w:space="0" w:color="auto"/>
            </w:tcBorders>
            <w:shd w:val="clear" w:color="auto" w:fill="auto"/>
            <w:noWrap/>
            <w:vAlign w:val="bottom"/>
          </w:tcPr>
          <w:p w:rsidR="001C1D88" w:rsidRPr="00181896" w:rsidRDefault="001C1D88" w:rsidP="009E369D">
            <w:pPr>
              <w:jc w:val="center"/>
              <w:rPr>
                <w:rFonts w:cs="Arial"/>
              </w:rPr>
            </w:pPr>
            <w:r>
              <w:rPr>
                <w:rFonts w:cs="Arial"/>
              </w:rPr>
              <w:t>100</w:t>
            </w:r>
          </w:p>
        </w:tc>
      </w:tr>
      <w:tr w:rsidR="001C1D88" w:rsidRPr="00216B54" w:rsidTr="009E369D">
        <w:trPr>
          <w:trHeight w:val="197"/>
          <w:jc w:val="center"/>
        </w:trPr>
        <w:tc>
          <w:tcPr>
            <w:tcW w:w="0" w:type="auto"/>
            <w:tcBorders>
              <w:top w:val="nil"/>
              <w:left w:val="nil"/>
              <w:bottom w:val="nil"/>
              <w:right w:val="nil"/>
            </w:tcBorders>
            <w:vAlign w:val="bottom"/>
          </w:tcPr>
          <w:p w:rsidR="001C1D88" w:rsidRPr="00216B54" w:rsidRDefault="001C1D88" w:rsidP="009E369D">
            <w:pPr>
              <w:rPr>
                <w:rFonts w:cs="Arial"/>
              </w:rPr>
            </w:pPr>
          </w:p>
        </w:tc>
        <w:tc>
          <w:tcPr>
            <w:tcW w:w="0" w:type="auto"/>
            <w:tcBorders>
              <w:top w:val="nil"/>
              <w:left w:val="nil"/>
              <w:bottom w:val="nil"/>
              <w:right w:val="single" w:sz="4" w:space="0" w:color="auto"/>
            </w:tcBorders>
            <w:vAlign w:val="bottom"/>
          </w:tcPr>
          <w:p w:rsidR="001C1D88" w:rsidRPr="00216B54" w:rsidRDefault="001C1D88" w:rsidP="009E369D">
            <w:pPr>
              <w:jc w:val="center"/>
              <w:rPr>
                <w:rFonts w:cs="Arial"/>
              </w:rPr>
            </w:pPr>
          </w:p>
        </w:tc>
        <w:tc>
          <w:tcPr>
            <w:tcW w:w="0" w:type="auto"/>
            <w:tcBorders>
              <w:top w:val="single" w:sz="4" w:space="0" w:color="auto"/>
              <w:left w:val="single" w:sz="4" w:space="0" w:color="auto"/>
              <w:bottom w:val="single" w:sz="4" w:space="0" w:color="auto"/>
              <w:right w:val="single" w:sz="4" w:space="0" w:color="auto"/>
            </w:tcBorders>
            <w:vAlign w:val="bottom"/>
          </w:tcPr>
          <w:p w:rsidR="001C1D88" w:rsidRPr="00181896" w:rsidRDefault="001C1D88" w:rsidP="009E369D">
            <w:pPr>
              <w:jc w:val="center"/>
              <w:rPr>
                <w:rFonts w:cs="Arial"/>
              </w:rPr>
            </w:pPr>
            <w:r>
              <w:rPr>
                <w:rFonts w:cs="Arial"/>
              </w:rPr>
              <w:t>60</w:t>
            </w:r>
          </w:p>
        </w:tc>
        <w:tc>
          <w:tcPr>
            <w:tcW w:w="0" w:type="auto"/>
            <w:tcBorders>
              <w:top w:val="single" w:sz="4" w:space="0" w:color="auto"/>
              <w:left w:val="single" w:sz="4" w:space="0" w:color="auto"/>
              <w:bottom w:val="single" w:sz="4" w:space="0" w:color="auto"/>
              <w:right w:val="single" w:sz="4" w:space="0" w:color="auto"/>
            </w:tcBorders>
            <w:vAlign w:val="bottom"/>
          </w:tcPr>
          <w:p w:rsidR="001C1D88" w:rsidRPr="00181896" w:rsidRDefault="001C1D88" w:rsidP="009E369D">
            <w:pPr>
              <w:jc w:val="center"/>
              <w:rPr>
                <w:rFonts w:cs="Arial"/>
              </w:rPr>
            </w:pPr>
            <w:r w:rsidRPr="00181896">
              <w:rPr>
                <w:rFonts w:cs="Arial"/>
              </w:rPr>
              <w:t>1</w:t>
            </w:r>
            <w:r>
              <w:rPr>
                <w:rFonts w:cs="Arial"/>
              </w:rPr>
              <w:t>4</w:t>
            </w:r>
            <w:r w:rsidRPr="00181896">
              <w:rPr>
                <w:rFonts w:cs="Arial"/>
              </w:rPr>
              <w:t>0</w:t>
            </w:r>
          </w:p>
        </w:tc>
        <w:tc>
          <w:tcPr>
            <w:tcW w:w="0" w:type="auto"/>
            <w:tcBorders>
              <w:top w:val="single" w:sz="4" w:space="0" w:color="auto"/>
              <w:left w:val="single" w:sz="4" w:space="0" w:color="auto"/>
              <w:bottom w:val="single" w:sz="4" w:space="0" w:color="auto"/>
              <w:right w:val="single" w:sz="4" w:space="0" w:color="auto"/>
            </w:tcBorders>
            <w:vAlign w:val="bottom"/>
          </w:tcPr>
          <w:p w:rsidR="001C1D88" w:rsidRPr="00181896" w:rsidRDefault="001C1D88" w:rsidP="009E369D">
            <w:pPr>
              <w:jc w:val="center"/>
              <w:rPr>
                <w:rFonts w:cs="Arial"/>
              </w:rPr>
            </w:pPr>
            <w:r>
              <w:rPr>
                <w:rFonts w:cs="Arial"/>
              </w:rPr>
              <w:t>200</w:t>
            </w:r>
          </w:p>
        </w:tc>
        <w:tc>
          <w:tcPr>
            <w:tcW w:w="0" w:type="auto"/>
            <w:tcBorders>
              <w:left w:val="single" w:sz="4" w:space="0" w:color="auto"/>
              <w:bottom w:val="nil"/>
              <w:right w:val="nil"/>
            </w:tcBorders>
          </w:tcPr>
          <w:p w:rsidR="001C1D88" w:rsidRPr="00216B54" w:rsidRDefault="001C1D88" w:rsidP="009E369D">
            <w:pPr>
              <w:rPr>
                <w:rFonts w:cs="Arial"/>
              </w:rPr>
            </w:pPr>
          </w:p>
        </w:tc>
        <w:tc>
          <w:tcPr>
            <w:tcW w:w="0" w:type="auto"/>
            <w:tcBorders>
              <w:top w:val="nil"/>
              <w:left w:val="nil"/>
              <w:bottom w:val="nil"/>
              <w:right w:val="nil"/>
            </w:tcBorders>
            <w:shd w:val="clear" w:color="auto" w:fill="auto"/>
            <w:noWrap/>
            <w:vAlign w:val="bottom"/>
          </w:tcPr>
          <w:p w:rsidR="001C1D88" w:rsidRPr="00216B54" w:rsidRDefault="001C1D88" w:rsidP="009E369D">
            <w:pPr>
              <w:rPr>
                <w:rFonts w:cs="Arial"/>
              </w:rPr>
            </w:pPr>
          </w:p>
        </w:tc>
        <w:tc>
          <w:tcPr>
            <w:tcW w:w="0" w:type="auto"/>
            <w:tcBorders>
              <w:top w:val="nil"/>
              <w:left w:val="nil"/>
              <w:bottom w:val="nil"/>
              <w:right w:val="nil"/>
            </w:tcBorders>
            <w:shd w:val="clear" w:color="auto" w:fill="auto"/>
            <w:noWrap/>
            <w:vAlign w:val="bottom"/>
          </w:tcPr>
          <w:p w:rsidR="001C1D88" w:rsidRPr="00216B54" w:rsidRDefault="001C1D88" w:rsidP="009E369D">
            <w:pPr>
              <w:jc w:val="center"/>
              <w:rPr>
                <w:rFonts w:cs="Arial"/>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rsidR="001C1D88" w:rsidRPr="00181896" w:rsidRDefault="001C1D88" w:rsidP="009E369D">
            <w:pPr>
              <w:jc w:val="center"/>
              <w:rPr>
                <w:rFonts w:cs="Arial"/>
              </w:rPr>
            </w:pPr>
            <w:r w:rsidRPr="00181896">
              <w:rPr>
                <w:rFonts w:cs="Arial"/>
              </w:rPr>
              <w:t>62</w:t>
            </w:r>
          </w:p>
        </w:tc>
        <w:tc>
          <w:tcPr>
            <w:tcW w:w="0" w:type="auto"/>
            <w:tcBorders>
              <w:top w:val="nil"/>
              <w:left w:val="nil"/>
              <w:bottom w:val="single" w:sz="4" w:space="0" w:color="auto"/>
              <w:right w:val="single" w:sz="4" w:space="0" w:color="auto"/>
            </w:tcBorders>
            <w:shd w:val="clear" w:color="auto" w:fill="auto"/>
            <w:noWrap/>
            <w:vAlign w:val="bottom"/>
          </w:tcPr>
          <w:p w:rsidR="001C1D88" w:rsidRPr="00181896" w:rsidRDefault="001C1D88" w:rsidP="009E369D">
            <w:pPr>
              <w:jc w:val="center"/>
              <w:rPr>
                <w:rFonts w:cs="Arial"/>
              </w:rPr>
            </w:pPr>
            <w:r w:rsidRPr="00181896">
              <w:rPr>
                <w:rFonts w:cs="Arial"/>
              </w:rPr>
              <w:t>138</w:t>
            </w:r>
          </w:p>
        </w:tc>
        <w:tc>
          <w:tcPr>
            <w:tcW w:w="0" w:type="auto"/>
            <w:tcBorders>
              <w:top w:val="nil"/>
              <w:left w:val="nil"/>
              <w:bottom w:val="single" w:sz="4" w:space="0" w:color="auto"/>
              <w:right w:val="single" w:sz="4" w:space="0" w:color="auto"/>
            </w:tcBorders>
            <w:shd w:val="clear" w:color="auto" w:fill="auto"/>
            <w:noWrap/>
            <w:vAlign w:val="bottom"/>
          </w:tcPr>
          <w:p w:rsidR="001C1D88" w:rsidRPr="00181896" w:rsidRDefault="001C1D88" w:rsidP="009E369D">
            <w:pPr>
              <w:jc w:val="center"/>
              <w:rPr>
                <w:rFonts w:cs="Arial"/>
              </w:rPr>
            </w:pPr>
            <w:r>
              <w:rPr>
                <w:rFonts w:cs="Arial"/>
              </w:rPr>
              <w:t>200</w:t>
            </w:r>
          </w:p>
        </w:tc>
      </w:tr>
    </w:tbl>
    <w:p w:rsidR="001C1D88" w:rsidRDefault="001C1D88" w:rsidP="001C1D88"/>
    <w:p w:rsidR="001C1D88" w:rsidRDefault="001C1D88" w:rsidP="001C1D88">
      <w:pPr>
        <w:ind w:left="360"/>
        <w:rPr>
          <w:rFonts w:cs="Arial"/>
        </w:rPr>
      </w:pPr>
      <w:r>
        <w:t xml:space="preserve">Normally, one would not know the </w:t>
      </w:r>
      <w:r w:rsidRPr="00216B54">
        <w:rPr>
          <w:rFonts w:cs="Arial"/>
          <w:position w:val="-4"/>
        </w:rPr>
        <w:object w:dxaOrig="240" w:dyaOrig="320">
          <v:shape id="_x0000_i1026" type="#_x0000_t75" style="width:12pt;height:16pt" o:ole="">
            <v:imagedata r:id="rId12" o:title=""/>
          </v:shape>
          <o:OLEObject Type="Embed" ProgID="Equation.DSMT4" ShapeID="_x0000_i1026" DrawAspect="Content" ObjectID="_1453022615" r:id="rId15"/>
        </w:object>
      </w:r>
      <w:r w:rsidR="009949FD">
        <w:rPr>
          <w:rFonts w:cs="Arial"/>
        </w:rPr>
        <w:t xml:space="preserve"> responses, but we will assume they are known here to demonstrate some important points for this problem.</w:t>
      </w:r>
      <w:r>
        <w:rPr>
          <w:rFonts w:cs="Arial"/>
        </w:rPr>
        <w:t xml:space="preserve"> For this data, </w:t>
      </w:r>
      <w:r>
        <w:rPr>
          <w:rFonts w:cs="Arial"/>
        </w:rPr>
        <w:sym w:font="Symbol" w:char="F068"/>
      </w:r>
      <w:bookmarkStart w:id="0" w:name="OLE_LINK1"/>
      <w:bookmarkStart w:id="1" w:name="OLE_LINK2"/>
      <w:r>
        <w:rPr>
          <w:rFonts w:cs="Arial"/>
        </w:rPr>
        <w:t xml:space="preserve"> = P(Y = 1 | </w:t>
      </w:r>
      <w:r w:rsidRPr="00216B54">
        <w:rPr>
          <w:rFonts w:cs="Arial"/>
          <w:position w:val="-4"/>
        </w:rPr>
        <w:object w:dxaOrig="240" w:dyaOrig="320">
          <v:shape id="_x0000_i1027" type="#_x0000_t75" style="width:12pt;height:16pt" o:ole="">
            <v:imagedata r:id="rId12" o:title=""/>
          </v:shape>
          <o:OLEObject Type="Embed" ProgID="Equation.DSMT4" ShapeID="_x0000_i1027" DrawAspect="Content" ObjectID="_1453022616" r:id="rId16"/>
        </w:object>
      </w:r>
      <w:r>
        <w:rPr>
          <w:rFonts w:cs="Arial"/>
        </w:rPr>
        <w:t xml:space="preserve"> = 1)</w:t>
      </w:r>
      <w:bookmarkEnd w:id="0"/>
      <w:bookmarkEnd w:id="1"/>
      <w:r>
        <w:rPr>
          <w:rFonts w:cs="Arial"/>
        </w:rPr>
        <w:t xml:space="preserve"> = 0.8 and </w:t>
      </w:r>
      <w:r>
        <w:rPr>
          <w:rFonts w:cs="Arial"/>
        </w:rPr>
        <w:sym w:font="Symbol" w:char="F064"/>
      </w:r>
      <w:r>
        <w:rPr>
          <w:rFonts w:cs="Arial"/>
        </w:rPr>
        <w:t xml:space="preserve"> = P(Y = 0 | </w:t>
      </w:r>
      <w:r w:rsidRPr="00216B54">
        <w:rPr>
          <w:rFonts w:cs="Arial"/>
          <w:position w:val="-4"/>
        </w:rPr>
        <w:object w:dxaOrig="240" w:dyaOrig="320">
          <v:shape id="_x0000_i1028" type="#_x0000_t75" style="width:12pt;height:16pt" o:ole="">
            <v:imagedata r:id="rId12" o:title=""/>
          </v:shape>
          <o:OLEObject Type="Embed" ProgID="Equation.DSMT4" ShapeID="_x0000_i1028" DrawAspect="Content" ObjectID="_1453022617" r:id="rId17"/>
        </w:object>
      </w:r>
      <w:r>
        <w:rPr>
          <w:rFonts w:cs="Arial"/>
        </w:rPr>
        <w:t xml:space="preserve"> = 0) = 0.9. Using these </w:t>
      </w:r>
      <w:r>
        <w:rPr>
          <w:rFonts w:cs="Arial"/>
        </w:rPr>
        <w:sym w:font="Symbol" w:char="F068"/>
      </w:r>
      <w:r>
        <w:rPr>
          <w:rFonts w:cs="Arial"/>
        </w:rPr>
        <w:t xml:space="preserve"> and </w:t>
      </w:r>
      <w:r>
        <w:rPr>
          <w:rFonts w:cs="Arial"/>
        </w:rPr>
        <w:sym w:font="Symbol" w:char="F064"/>
      </w:r>
      <w:r>
        <w:rPr>
          <w:rFonts w:cs="Arial"/>
        </w:rPr>
        <w:t xml:space="preserve"> values directly, one can </w:t>
      </w:r>
      <w:r w:rsidR="009949FD">
        <w:rPr>
          <w:rFonts w:cs="Arial"/>
        </w:rPr>
        <w:t>see how</w:t>
      </w:r>
      <w:r>
        <w:rPr>
          <w:rFonts w:cs="Arial"/>
        </w:rPr>
        <w:t xml:space="preserve"> Table #2 </w:t>
      </w:r>
      <w:r w:rsidR="009949FD">
        <w:rPr>
          <w:rFonts w:cs="Arial"/>
        </w:rPr>
        <w:t xml:space="preserve">is formed from </w:t>
      </w:r>
      <w:r>
        <w:rPr>
          <w:rFonts w:cs="Arial"/>
        </w:rPr>
        <w:t>Table #1. From project #1</w:t>
      </w:r>
      <w:proofErr w:type="gramStart"/>
      <w:r>
        <w:rPr>
          <w:rFonts w:cs="Arial"/>
        </w:rPr>
        <w:t xml:space="preserve">, </w:t>
      </w:r>
      <w:proofErr w:type="gramEnd"/>
      <w:r w:rsidR="001A1FCA" w:rsidRPr="003D286C">
        <w:rPr>
          <w:rFonts w:cs="Arial"/>
          <w:position w:val="-10"/>
        </w:rPr>
        <w:object w:dxaOrig="2299" w:dyaOrig="380">
          <v:shape id="_x0000_i1040" type="#_x0000_t75" style="width:115pt;height:19pt" o:ole="">
            <v:imagedata r:id="rId18" o:title=""/>
          </v:shape>
          <o:OLEObject Type="Embed" ProgID="Equation.DSMT4" ShapeID="_x0000_i1040" DrawAspect="Content" ObjectID="_1453022618" r:id="rId19"/>
        </w:object>
      </w:r>
      <w:r w:rsidRPr="003D286C">
        <w:rPr>
          <w:rFonts w:cs="Arial"/>
          <w:position w:val="-10"/>
        </w:rPr>
        <w:object w:dxaOrig="1939" w:dyaOrig="380">
          <v:shape id="_x0000_i1029" type="#_x0000_t75" style="width:97pt;height:19pt" o:ole="">
            <v:imagedata r:id="rId20" o:title=""/>
          </v:shape>
          <o:OLEObject Type="Embed" ProgID="Equation.DSMT4" ShapeID="_x0000_i1029" DrawAspect="Content" ObjectID="_1453022619" r:id="rId21"/>
        </w:object>
      </w:r>
      <w:r w:rsidR="001A1FCA">
        <w:rPr>
          <w:rFonts w:cs="Arial"/>
        </w:rPr>
        <w:t>. Using this expression in terms of estimated probabilities, we have</w:t>
      </w:r>
      <w:r>
        <w:rPr>
          <w:rFonts w:cs="Arial"/>
        </w:rPr>
        <w:t xml:space="preserve"> </w:t>
      </w:r>
    </w:p>
    <w:p w:rsidR="001C1D88" w:rsidRDefault="001C1D88" w:rsidP="001C1D88">
      <w:pPr>
        <w:ind w:left="720"/>
        <w:rPr>
          <w:rFonts w:cs="Arial"/>
        </w:rPr>
      </w:pPr>
    </w:p>
    <w:p w:rsidR="001C1D88" w:rsidRDefault="001A1FCA" w:rsidP="001C1D88">
      <w:pPr>
        <w:ind w:left="1440"/>
        <w:rPr>
          <w:rFonts w:cs="Arial"/>
        </w:rPr>
      </w:pPr>
      <w:r w:rsidRPr="000E12A5">
        <w:rPr>
          <w:rFonts w:cs="Arial"/>
          <w:position w:val="-42"/>
        </w:rPr>
        <w:object w:dxaOrig="4880" w:dyaOrig="1060">
          <v:shape id="_x0000_i1041" type="#_x0000_t75" style="width:244pt;height:53pt" o:ole="">
            <v:imagedata r:id="rId22" o:title=""/>
          </v:shape>
          <o:OLEObject Type="Embed" ProgID="Equation.DSMT4" ShapeID="_x0000_i1041" DrawAspect="Content" ObjectID="_1453022620" r:id="rId23"/>
        </w:object>
      </w:r>
    </w:p>
    <w:p w:rsidR="001C1D88" w:rsidRDefault="001C1D88" w:rsidP="001C1D88">
      <w:pPr>
        <w:ind w:left="1440"/>
        <w:rPr>
          <w:rFonts w:cs="Arial"/>
        </w:rPr>
      </w:pPr>
    </w:p>
    <w:p w:rsidR="001C1D88" w:rsidRDefault="000E12A5" w:rsidP="001C1D88">
      <w:pPr>
        <w:ind w:left="360"/>
        <w:rPr>
          <w:rFonts w:cs="Arial"/>
        </w:rPr>
      </w:pPr>
      <w:proofErr w:type="gramStart"/>
      <w:r>
        <w:rPr>
          <w:rFonts w:cs="Arial"/>
        </w:rPr>
        <w:t>where</w:t>
      </w:r>
      <w:proofErr w:type="gramEnd"/>
      <w:r>
        <w:rPr>
          <w:rFonts w:cs="Arial"/>
        </w:rPr>
        <w:t xml:space="preserve"> I use a ^ on P(</w:t>
      </w:r>
      <w:r>
        <w:rPr>
          <w:rFonts w:cs="Arial"/>
        </w:rPr>
        <w:sym w:font="Symbol" w:char="F0D7"/>
      </w:r>
      <w:r>
        <w:rPr>
          <w:rFonts w:cs="Arial"/>
        </w:rPr>
        <w:t xml:space="preserve">) to denote an estimated probability. </w:t>
      </w:r>
      <w:r w:rsidR="001C1D88">
        <w:rPr>
          <w:rFonts w:cs="Arial"/>
        </w:rPr>
        <w:t>Also,</w:t>
      </w:r>
      <w:r w:rsidR="001A1FCA">
        <w:rPr>
          <w:rFonts w:cs="Arial"/>
        </w:rPr>
        <w:t xml:space="preserve"> we can use the same type of expression for row #1:</w:t>
      </w:r>
    </w:p>
    <w:p w:rsidR="001C1D88" w:rsidRDefault="001C1D88" w:rsidP="001C1D88">
      <w:pPr>
        <w:ind w:left="720"/>
        <w:rPr>
          <w:rFonts w:cs="Arial"/>
        </w:rPr>
      </w:pPr>
    </w:p>
    <w:p w:rsidR="001C1D88" w:rsidRDefault="00DB6860" w:rsidP="001C1D88">
      <w:pPr>
        <w:ind w:left="1440"/>
        <w:rPr>
          <w:rFonts w:cs="Arial"/>
        </w:rPr>
      </w:pPr>
      <w:r w:rsidRPr="000E12A5">
        <w:rPr>
          <w:rFonts w:cs="Arial"/>
          <w:position w:val="-42"/>
        </w:rPr>
        <w:object w:dxaOrig="6200" w:dyaOrig="1060">
          <v:shape id="_x0000_i1030" type="#_x0000_t75" style="width:310pt;height:53pt" o:ole="">
            <v:imagedata r:id="rId24" o:title=""/>
          </v:shape>
          <o:OLEObject Type="Embed" ProgID="Equation.DSMT4" ShapeID="_x0000_i1030" DrawAspect="Content" ObjectID="_1453022621" r:id="rId25"/>
        </w:object>
      </w:r>
    </w:p>
    <w:p w:rsidR="001C1D88" w:rsidRDefault="001C1D88" w:rsidP="001C1D88">
      <w:pPr>
        <w:ind w:left="1440"/>
        <w:rPr>
          <w:rFonts w:cs="Arial"/>
        </w:rPr>
      </w:pPr>
    </w:p>
    <w:p w:rsidR="00256B96" w:rsidRDefault="001A1FCA" w:rsidP="001C1D88">
      <w:pPr>
        <w:ind w:left="360"/>
        <w:rPr>
          <w:rFonts w:cs="Arial"/>
        </w:rPr>
      </w:pPr>
      <w:r>
        <w:rPr>
          <w:rFonts w:cs="Arial"/>
        </w:rPr>
        <w:t>For Table #2</w:t>
      </w:r>
      <w:r w:rsidR="00256B96">
        <w:rPr>
          <w:rFonts w:cs="Arial"/>
        </w:rPr>
        <w:t>, w</w:t>
      </w:r>
      <w:r w:rsidR="00256B96">
        <w:rPr>
          <w:rFonts w:cs="Arial"/>
          <w:vertAlign w:val="subscript"/>
        </w:rPr>
        <w:t>+</w:t>
      </w:r>
      <w:r w:rsidR="00256B96">
        <w:rPr>
          <w:rFonts w:cs="Arial"/>
        </w:rPr>
        <w:t xml:space="preserve"> is found using </w:t>
      </w:r>
      <w:r w:rsidR="001C1D88">
        <w:rPr>
          <w:rFonts w:cs="Arial"/>
        </w:rPr>
        <w:t>200</w:t>
      </w:r>
      <w:r w:rsidR="00256B96">
        <w:rPr>
          <w:rFonts w:cs="Arial"/>
        </w:rPr>
        <w:t>×</w:t>
      </w:r>
      <w:r w:rsidR="001C1D88">
        <w:rPr>
          <w:rFonts w:cs="Arial"/>
        </w:rPr>
        <w:t xml:space="preserve">0.31 = 62 and </w:t>
      </w:r>
      <w:r w:rsidR="00256B96">
        <w:rPr>
          <w:rFonts w:cs="Arial"/>
        </w:rPr>
        <w:t>w</w:t>
      </w:r>
      <w:r w:rsidR="001C1D88">
        <w:rPr>
          <w:rFonts w:cs="Arial"/>
          <w:vertAlign w:val="subscript"/>
        </w:rPr>
        <w:t>1</w:t>
      </w:r>
      <w:r w:rsidR="001C1D88">
        <w:rPr>
          <w:rFonts w:cs="Arial"/>
        </w:rPr>
        <w:t xml:space="preserve"> = 100</w:t>
      </w:r>
      <w:r w:rsidR="00256B96">
        <w:rPr>
          <w:rFonts w:cs="Arial"/>
        </w:rPr>
        <w:t xml:space="preserve">×0.38 = 38. The rest of Table #2 </w:t>
      </w:r>
      <w:r w:rsidR="001C1D88">
        <w:rPr>
          <w:rFonts w:cs="Arial"/>
        </w:rPr>
        <w:t>can be cons</w:t>
      </w:r>
      <w:r w:rsidR="00256B96">
        <w:rPr>
          <w:rFonts w:cs="Arial"/>
        </w:rPr>
        <w:t xml:space="preserve">tructed from this information. Thus, Table #2 is found using “estimated” expected values with the help of information in Table #1. </w:t>
      </w:r>
    </w:p>
    <w:p w:rsidR="00256B96" w:rsidRDefault="00256B96" w:rsidP="001C1D88">
      <w:pPr>
        <w:ind w:left="360"/>
        <w:rPr>
          <w:rFonts w:cs="Arial"/>
        </w:rPr>
      </w:pPr>
    </w:p>
    <w:p w:rsidR="00256B96" w:rsidRDefault="00256B96" w:rsidP="001C1D88">
      <w:pPr>
        <w:ind w:left="360"/>
        <w:rPr>
          <w:rFonts w:cs="Arial"/>
        </w:rPr>
      </w:pPr>
      <w:r>
        <w:rPr>
          <w:rFonts w:cs="Arial"/>
        </w:rPr>
        <w:t xml:space="preserve">To make sure this is clear, Table #1 would not be known in a real setting. Also, even if Table #1 was known, there would be variability </w:t>
      </w:r>
      <w:r w:rsidR="001A1FCA">
        <w:rPr>
          <w:rFonts w:cs="Arial"/>
        </w:rPr>
        <w:t xml:space="preserve">in the construction of Table #2, </w:t>
      </w:r>
      <w:r>
        <w:rPr>
          <w:rFonts w:cs="Arial"/>
        </w:rPr>
        <w:t xml:space="preserve">which would lead to potentially different observed counts than those given above. What we are using here for Table #2 is an estimate of what we would expect to happen on average. </w:t>
      </w:r>
    </w:p>
    <w:p w:rsidR="00256B96" w:rsidRDefault="00256B96" w:rsidP="001C1D88">
      <w:pPr>
        <w:ind w:left="360"/>
        <w:rPr>
          <w:rFonts w:cs="Arial"/>
        </w:rPr>
      </w:pPr>
    </w:p>
    <w:p w:rsidR="001C1D88" w:rsidRPr="004F09F8" w:rsidRDefault="001C1D88" w:rsidP="001C1D88">
      <w:pPr>
        <w:numPr>
          <w:ilvl w:val="1"/>
          <w:numId w:val="3"/>
        </w:numPr>
      </w:pPr>
      <w:r>
        <w:t xml:space="preserve">(2 points) Find the estimated odds ratios for Table #1 and Table #2 using the usual </w:t>
      </w:r>
      <w:r w:rsidR="00DF6AFB">
        <w:t>equations (don’t adjust the equations to account for testing error</w:t>
      </w:r>
      <w:r>
        <w:t>)</w:t>
      </w:r>
      <w:r>
        <w:rPr>
          <w:rFonts w:cs="Arial"/>
        </w:rPr>
        <w:t xml:space="preserve">. Compare </w:t>
      </w:r>
      <w:r w:rsidR="002E5452">
        <w:rPr>
          <w:rFonts w:cs="Arial"/>
        </w:rPr>
        <w:t>the values of these odds ratios</w:t>
      </w:r>
      <w:r>
        <w:rPr>
          <w:rFonts w:cs="Arial"/>
        </w:rPr>
        <w:t xml:space="preserve">.      </w:t>
      </w:r>
    </w:p>
    <w:p w:rsidR="001C1D88" w:rsidRPr="00BA35CA" w:rsidRDefault="001C1D88" w:rsidP="00B720CF">
      <w:pPr>
        <w:numPr>
          <w:ilvl w:val="1"/>
          <w:numId w:val="3"/>
        </w:numPr>
      </w:pPr>
      <w:bookmarkStart w:id="2" w:name="_Ref153694743"/>
      <w:r>
        <w:t xml:space="preserve">(2 points) </w:t>
      </w:r>
      <w:r>
        <w:rPr>
          <w:rFonts w:cs="Arial"/>
        </w:rPr>
        <w:t xml:space="preserve">Find the estimated standard deviation for the estimated </w:t>
      </w:r>
      <w:r w:rsidR="007476C7">
        <w:rPr>
          <w:rFonts w:cs="Arial"/>
        </w:rPr>
        <w:t xml:space="preserve">log </w:t>
      </w:r>
      <w:r>
        <w:rPr>
          <w:rFonts w:cs="Arial"/>
        </w:rPr>
        <w:t>odds ratio constructed for Table #1.</w:t>
      </w:r>
      <w:bookmarkEnd w:id="2"/>
      <w:r>
        <w:rPr>
          <w:rFonts w:cs="Arial"/>
        </w:rPr>
        <w:t xml:space="preserve"> Also, find the 95% Wald confidence interval for the odds ratio.   </w:t>
      </w:r>
    </w:p>
    <w:p w:rsidR="001C1D88" w:rsidRPr="00300153" w:rsidRDefault="004F6679" w:rsidP="001C1D88">
      <w:pPr>
        <w:numPr>
          <w:ilvl w:val="1"/>
          <w:numId w:val="3"/>
        </w:numPr>
      </w:pPr>
      <w:r w:rsidRPr="00300153">
        <w:rPr>
          <w:rFonts w:cs="Arial"/>
        </w:rPr>
        <w:t xml:space="preserve">Normally, only </w:t>
      </w:r>
      <w:r w:rsidR="001C1D88" w:rsidRPr="00300153">
        <w:rPr>
          <w:rFonts w:cs="Arial"/>
        </w:rPr>
        <w:t>Table #2</w:t>
      </w:r>
      <w:r w:rsidRPr="00300153">
        <w:rPr>
          <w:rFonts w:cs="Arial"/>
        </w:rPr>
        <w:t xml:space="preserve"> would be known</w:t>
      </w:r>
      <w:r w:rsidR="001C1D88" w:rsidRPr="00300153">
        <w:rPr>
          <w:rFonts w:cs="Arial"/>
        </w:rPr>
        <w:t xml:space="preserve">, but </w:t>
      </w:r>
      <w:r w:rsidR="004E2582">
        <w:rPr>
          <w:rFonts w:cs="Arial"/>
        </w:rPr>
        <w:t>the goal would be to estimate</w:t>
      </w:r>
      <w:r w:rsidR="001C1D88" w:rsidRPr="00300153">
        <w:rPr>
          <w:rFonts w:cs="Arial"/>
        </w:rPr>
        <w:t xml:space="preserve"> the true odds ratio,</w:t>
      </w:r>
      <w:r w:rsidRPr="00300153">
        <w:rPr>
          <w:rFonts w:cs="Arial"/>
        </w:rPr>
        <w:t xml:space="preserve"> </w:t>
      </w:r>
      <w:proofErr w:type="gramStart"/>
      <w:r w:rsidRPr="00300153">
        <w:rPr>
          <w:rFonts w:cs="Arial"/>
        </w:rPr>
        <w:t xml:space="preserve">say </w:t>
      </w:r>
      <w:proofErr w:type="gramEnd"/>
      <w:r w:rsidRPr="00300153">
        <w:rPr>
          <w:position w:val="-6"/>
        </w:rPr>
        <w:object w:dxaOrig="440" w:dyaOrig="340">
          <v:shape id="_x0000_i1031" type="#_x0000_t75" style="width:22pt;height:17pt" o:ole="">
            <v:imagedata r:id="rId26" o:title=""/>
          </v:shape>
          <o:OLEObject Type="Embed" ProgID="Equation.DSMT4" ShapeID="_x0000_i1031" DrawAspect="Content" ObjectID="_1453022622" r:id="rId27"/>
        </w:object>
      </w:r>
      <w:r w:rsidR="001C1D88" w:rsidRPr="00300153">
        <w:rPr>
          <w:rFonts w:cs="Arial"/>
        </w:rPr>
        <w:t>. Using Table #2 only, complete the following:</w:t>
      </w:r>
    </w:p>
    <w:p w:rsidR="00F62778" w:rsidRPr="00300153" w:rsidRDefault="001C1D88" w:rsidP="001C1D88">
      <w:pPr>
        <w:numPr>
          <w:ilvl w:val="2"/>
          <w:numId w:val="3"/>
        </w:numPr>
      </w:pPr>
      <w:r w:rsidRPr="00300153">
        <w:rPr>
          <w:rFonts w:cs="Arial"/>
        </w:rPr>
        <w:t>(5 points) The correct estimated odds ratio</w:t>
      </w:r>
      <w:r w:rsidR="009E369D" w:rsidRPr="00300153">
        <w:rPr>
          <w:rFonts w:cs="Arial"/>
        </w:rPr>
        <w:t xml:space="preserve"> </w:t>
      </w:r>
      <w:r w:rsidR="009E369D" w:rsidRPr="00300153">
        <w:t xml:space="preserve">for the true relationship between X and </w:t>
      </w:r>
      <w:r w:rsidR="009E369D" w:rsidRPr="00300153">
        <w:rPr>
          <w:position w:val="-4"/>
        </w:rPr>
        <w:object w:dxaOrig="240" w:dyaOrig="320">
          <v:shape id="_x0000_i1036" type="#_x0000_t75" style="width:12pt;height:16pt" o:ole="">
            <v:imagedata r:id="rId28" o:title=""/>
          </v:shape>
          <o:OLEObject Type="Embed" ProgID="Equation.DSMT4" ShapeID="_x0000_i1036" DrawAspect="Content" ObjectID="_1453022623" r:id="rId29"/>
        </w:object>
      </w:r>
      <w:r w:rsidR="009E369D" w:rsidRPr="00300153">
        <w:t xml:space="preserve"> given only data on X and Y</w:t>
      </w:r>
      <w:r w:rsidRPr="00300153">
        <w:rPr>
          <w:rFonts w:cs="Arial"/>
        </w:rPr>
        <w:t xml:space="preserve"> is </w:t>
      </w:r>
    </w:p>
    <w:p w:rsidR="00F62778" w:rsidRDefault="00F62778" w:rsidP="00F62778">
      <w:pPr>
        <w:ind w:left="1080"/>
        <w:rPr>
          <w:rFonts w:cs="Arial"/>
        </w:rPr>
      </w:pPr>
    </w:p>
    <w:p w:rsidR="00F62778" w:rsidRDefault="004E2582" w:rsidP="00F62778">
      <w:pPr>
        <w:ind w:left="1440"/>
      </w:pPr>
      <w:r w:rsidRPr="001822FF">
        <w:rPr>
          <w:position w:val="-28"/>
        </w:rPr>
        <w:object w:dxaOrig="2980" w:dyaOrig="660">
          <v:shape id="_x0000_i1042" type="#_x0000_t75" style="width:149pt;height:33pt" o:ole="">
            <v:imagedata r:id="rId30" o:title=""/>
          </v:shape>
          <o:OLEObject Type="Embed" ProgID="Equation.DSMT4" ShapeID="_x0000_i1042" DrawAspect="Content" ObjectID="_1453022624" r:id="rId31"/>
        </w:object>
      </w:r>
      <w:r w:rsidR="001C1D88">
        <w:t xml:space="preserve"> </w:t>
      </w:r>
    </w:p>
    <w:p w:rsidR="00F62778" w:rsidRDefault="00F62778" w:rsidP="00F62778">
      <w:pPr>
        <w:ind w:left="1080"/>
      </w:pPr>
    </w:p>
    <w:p w:rsidR="001C1D88" w:rsidRDefault="001C1D88" w:rsidP="00F62778">
      <w:pPr>
        <w:ind w:left="1080"/>
      </w:pPr>
      <w:r>
        <w:t>Justify this formula and find the estima</w:t>
      </w:r>
      <w:r w:rsidR="00701743">
        <w:t xml:space="preserve">ted odds ratio using the data. </w:t>
      </w:r>
      <w:r>
        <w:t>Hint: When justifying the formula, start with</w:t>
      </w:r>
    </w:p>
    <w:p w:rsidR="001C1D88" w:rsidRDefault="001C1D88" w:rsidP="001C1D88"/>
    <w:p w:rsidR="001C1D88" w:rsidRDefault="009E369D" w:rsidP="001C1D88">
      <w:pPr>
        <w:ind w:left="1440"/>
      </w:pPr>
      <w:r w:rsidRPr="00701743">
        <w:rPr>
          <w:position w:val="-28"/>
        </w:rPr>
        <w:object w:dxaOrig="1740" w:dyaOrig="660">
          <v:shape id="_x0000_i1037" type="#_x0000_t75" style="width:87pt;height:33pt" o:ole="">
            <v:imagedata r:id="rId32" o:title=""/>
          </v:shape>
          <o:OLEObject Type="Embed" ProgID="Equation.DSMT4" ShapeID="_x0000_i1037" DrawAspect="Content" ObjectID="_1453022625" r:id="rId33"/>
        </w:object>
      </w:r>
    </w:p>
    <w:p w:rsidR="001C1D88" w:rsidRDefault="001C1D88" w:rsidP="001C1D88">
      <w:pPr>
        <w:ind w:left="720"/>
      </w:pPr>
    </w:p>
    <w:p w:rsidR="009E369D" w:rsidRDefault="009E369D" w:rsidP="009E369D">
      <w:pPr>
        <w:ind w:left="1080"/>
      </w:pPr>
      <w:proofErr w:type="gramStart"/>
      <w:r>
        <w:t>where</w:t>
      </w:r>
      <w:proofErr w:type="gramEnd"/>
      <w:r>
        <w:t xml:space="preserve"> </w:t>
      </w:r>
      <w:r w:rsidRPr="009E369D">
        <w:rPr>
          <w:position w:val="-10"/>
        </w:rPr>
        <w:object w:dxaOrig="2000" w:dyaOrig="380">
          <v:shape id="_x0000_i1038" type="#_x0000_t75" style="width:100pt;height:19pt" o:ole="">
            <v:imagedata r:id="rId34" o:title=""/>
          </v:shape>
          <o:OLEObject Type="Embed" ProgID="Equation.DSMT4" ShapeID="_x0000_i1038" DrawAspect="Content" ObjectID="_1453022626" r:id="rId35"/>
        </w:object>
      </w:r>
      <w:r>
        <w:t xml:space="preserve"> and </w:t>
      </w:r>
      <w:r w:rsidRPr="009E369D">
        <w:rPr>
          <w:position w:val="-10"/>
        </w:rPr>
        <w:object w:dxaOrig="2079" w:dyaOrig="380">
          <v:shape id="_x0000_i1039" type="#_x0000_t75" style="width:104pt;height:19pt" o:ole="">
            <v:imagedata r:id="rId36" o:title=""/>
          </v:shape>
          <o:OLEObject Type="Embed" ProgID="Equation.DSMT4" ShapeID="_x0000_i1039" DrawAspect="Content" ObjectID="_1453022627" r:id="rId37"/>
        </w:object>
      </w:r>
      <w:r>
        <w:t xml:space="preserve"> are the true probabilities. </w:t>
      </w:r>
    </w:p>
    <w:p w:rsidR="009E369D" w:rsidRDefault="009E369D" w:rsidP="001C1D88">
      <w:pPr>
        <w:ind w:left="720"/>
      </w:pPr>
    </w:p>
    <w:p w:rsidR="00243FAC" w:rsidRDefault="001C1D88" w:rsidP="001C1D88">
      <w:pPr>
        <w:numPr>
          <w:ilvl w:val="2"/>
          <w:numId w:val="3"/>
        </w:numPr>
        <w:rPr>
          <w:rFonts w:cs="Arial"/>
        </w:rPr>
      </w:pPr>
      <w:bookmarkStart w:id="3" w:name="_Ref153694748"/>
      <w:bookmarkStart w:id="4" w:name="_Ref158008936"/>
      <w:r>
        <w:rPr>
          <w:rFonts w:cs="Arial"/>
        </w:rPr>
        <w:t>(2 points) The standard deviation of the log odds ratio</w:t>
      </w:r>
      <w:proofErr w:type="gramStart"/>
      <w:r>
        <w:rPr>
          <w:rFonts w:cs="Arial"/>
        </w:rPr>
        <w:t>,</w:t>
      </w:r>
      <w:r w:rsidR="00F62778">
        <w:rPr>
          <w:rFonts w:cs="Arial"/>
        </w:rPr>
        <w:t xml:space="preserve"> </w:t>
      </w:r>
      <w:proofErr w:type="gramEnd"/>
      <w:r w:rsidR="00F62778" w:rsidRPr="00F62778">
        <w:rPr>
          <w:rFonts w:cs="Arial"/>
          <w:position w:val="-10"/>
        </w:rPr>
        <w:object w:dxaOrig="840" w:dyaOrig="420">
          <v:shape id="_x0000_i1032" type="#_x0000_t75" style="width:42pt;height:21pt" o:ole="">
            <v:imagedata r:id="rId38" o:title=""/>
          </v:shape>
          <o:OLEObject Type="Embed" ProgID="Equation.DSMT4" ShapeID="_x0000_i1032" DrawAspect="Content" ObjectID="_1453022628" r:id="rId39"/>
        </w:object>
      </w:r>
      <w:r>
        <w:t>,</w:t>
      </w:r>
      <w:r>
        <w:rPr>
          <w:rFonts w:cs="Arial"/>
        </w:rPr>
        <w:t xml:space="preserve"> can be d</w:t>
      </w:r>
      <w:r w:rsidR="004E2582">
        <w:rPr>
          <w:rFonts w:cs="Arial"/>
        </w:rPr>
        <w:t xml:space="preserve">erived through using likelihood-based methods and the delta </w:t>
      </w:r>
      <w:r>
        <w:rPr>
          <w:rFonts w:cs="Arial"/>
        </w:rPr>
        <w:t xml:space="preserve">method. This standard deviation is </w:t>
      </w:r>
    </w:p>
    <w:p w:rsidR="00243FAC" w:rsidRDefault="00243FAC" w:rsidP="00243FAC">
      <w:pPr>
        <w:ind w:left="1080"/>
        <w:rPr>
          <w:rFonts w:cs="Arial"/>
        </w:rPr>
      </w:pPr>
    </w:p>
    <w:p w:rsidR="00243FAC" w:rsidRDefault="00243FAC" w:rsidP="00243FAC">
      <w:pPr>
        <w:ind w:left="1440"/>
        <w:rPr>
          <w:rFonts w:cs="Arial"/>
        </w:rPr>
      </w:pPr>
      <w:r w:rsidRPr="00243FAC">
        <w:rPr>
          <w:rFonts w:cs="Arial"/>
          <w:position w:val="-30"/>
        </w:rPr>
        <w:object w:dxaOrig="7960" w:dyaOrig="760">
          <v:shape id="_x0000_i1033" type="#_x0000_t75" style="width:398pt;height:38pt" o:ole="">
            <v:imagedata r:id="rId40" o:title=""/>
          </v:shape>
          <o:OLEObject Type="Embed" ProgID="Equation.DSMT4" ShapeID="_x0000_i1033" DrawAspect="Content" ObjectID="_1453022629" r:id="rId41"/>
        </w:object>
      </w:r>
    </w:p>
    <w:p w:rsidR="00243FAC" w:rsidRPr="00052415" w:rsidRDefault="00243FAC" w:rsidP="00243FAC">
      <w:pPr>
        <w:ind w:left="1440"/>
        <w:rPr>
          <w:rFonts w:cs="Arial"/>
        </w:rPr>
      </w:pPr>
    </w:p>
    <w:p w:rsidR="001C1D88" w:rsidRPr="00052415" w:rsidRDefault="001C1D88" w:rsidP="00243FAC">
      <w:pPr>
        <w:ind w:left="1080"/>
        <w:rPr>
          <w:rFonts w:cs="Arial"/>
        </w:rPr>
      </w:pPr>
      <w:r w:rsidRPr="00052415">
        <w:rPr>
          <w:rFonts w:cs="Arial"/>
        </w:rPr>
        <w:t xml:space="preserve">Find the </w:t>
      </w:r>
      <w:r w:rsidR="00243FAC" w:rsidRPr="00052415">
        <w:rPr>
          <w:rFonts w:cs="Arial"/>
        </w:rPr>
        <w:t>estimated</w:t>
      </w:r>
      <w:r w:rsidRPr="00052415">
        <w:rPr>
          <w:rFonts w:cs="Arial"/>
        </w:rPr>
        <w:t xml:space="preserve"> standard deviation.</w:t>
      </w:r>
      <w:bookmarkEnd w:id="3"/>
      <w:bookmarkEnd w:id="4"/>
      <w:r w:rsidRPr="00052415">
        <w:rPr>
          <w:rFonts w:cs="Arial"/>
        </w:rPr>
        <w:t xml:space="preserve">  </w:t>
      </w:r>
    </w:p>
    <w:p w:rsidR="0043796A" w:rsidRPr="00052415" w:rsidRDefault="001C1D88" w:rsidP="00B720CF">
      <w:pPr>
        <w:numPr>
          <w:ilvl w:val="2"/>
          <w:numId w:val="3"/>
        </w:numPr>
      </w:pPr>
      <w:r w:rsidRPr="00052415">
        <w:rPr>
          <w:rFonts w:cs="Arial"/>
        </w:rPr>
        <w:t>(2 points)</w:t>
      </w:r>
      <w:r w:rsidR="0043796A" w:rsidRPr="00052415">
        <w:rPr>
          <w:rFonts w:cs="Arial"/>
        </w:rPr>
        <w:t xml:space="preserve"> State the formula for a W</w:t>
      </w:r>
      <w:r w:rsidRPr="00052415">
        <w:t>ald confiden</w:t>
      </w:r>
      <w:r w:rsidR="00701743" w:rsidRPr="00052415">
        <w:t xml:space="preserve">ce interval for the odds ratio </w:t>
      </w:r>
      <w:r w:rsidR="00701743" w:rsidRPr="00052415">
        <w:rPr>
          <w:rFonts w:cs="Arial"/>
          <w:position w:val="-6"/>
        </w:rPr>
        <w:object w:dxaOrig="400" w:dyaOrig="320">
          <v:shape id="_x0000_i1034" type="#_x0000_t75" style="width:20pt;height:16pt" o:ole="">
            <v:imagedata r:id="rId42" o:title=""/>
          </v:shape>
          <o:OLEObject Type="Embed" ProgID="Equation.DSMT4" ShapeID="_x0000_i1034" DrawAspect="Content" ObjectID="_1453022630" r:id="rId43"/>
        </w:object>
      </w:r>
      <w:r w:rsidR="0043796A" w:rsidRPr="00052415">
        <w:rPr>
          <w:rFonts w:cs="Arial"/>
        </w:rPr>
        <w:t xml:space="preserve"> and compute it for the data</w:t>
      </w:r>
      <w:r w:rsidRPr="00052415">
        <w:t xml:space="preserve">. </w:t>
      </w:r>
      <w:bookmarkStart w:id="5" w:name="_GoBack"/>
      <w:bookmarkEnd w:id="5"/>
    </w:p>
    <w:p w:rsidR="001C1D88" w:rsidRPr="00052415" w:rsidRDefault="001C1D88" w:rsidP="00660E1B">
      <w:pPr>
        <w:numPr>
          <w:ilvl w:val="1"/>
          <w:numId w:val="3"/>
        </w:numPr>
        <w:spacing w:after="200" w:line="276" w:lineRule="auto"/>
        <w:jc w:val="both"/>
        <w:rPr>
          <w:rFonts w:cs="Arial"/>
          <w:color w:val="000000"/>
        </w:rPr>
      </w:pPr>
      <w:r w:rsidRPr="00052415">
        <w:rPr>
          <w:rFonts w:cs="Arial"/>
        </w:rPr>
        <w:t xml:space="preserve">(3 points) </w:t>
      </w:r>
      <w:r w:rsidRPr="00052415">
        <w:t xml:space="preserve">Compare the standard deviations found for </w:t>
      </w:r>
      <w:r w:rsidRPr="00052415">
        <w:fldChar w:fldCharType="begin"/>
      </w:r>
      <w:r w:rsidRPr="00052415">
        <w:instrText xml:space="preserve"> REF _Ref153694743 \r \h </w:instrText>
      </w:r>
      <w:r w:rsidR="00052415" w:rsidRPr="00052415">
        <w:instrText xml:space="preserve"> \* MERGEFORMAT </w:instrText>
      </w:r>
      <w:r w:rsidRPr="00052415">
        <w:fldChar w:fldCharType="separate"/>
      </w:r>
      <w:r w:rsidRPr="00052415">
        <w:t>b)</w:t>
      </w:r>
      <w:r w:rsidRPr="00052415">
        <w:fldChar w:fldCharType="end"/>
      </w:r>
      <w:r w:rsidRPr="00052415">
        <w:t xml:space="preserve"> and </w:t>
      </w:r>
      <w:r w:rsidRPr="00052415">
        <w:fldChar w:fldCharType="begin"/>
      </w:r>
      <w:r w:rsidRPr="00052415">
        <w:instrText xml:space="preserve"> REF _Ref158008936 \r \h </w:instrText>
      </w:r>
      <w:r w:rsidR="00052415" w:rsidRPr="00052415">
        <w:instrText xml:space="preserve"> \* MERGEFORMAT </w:instrText>
      </w:r>
      <w:r w:rsidRPr="00052415">
        <w:fldChar w:fldCharType="separate"/>
      </w:r>
      <w:r w:rsidRPr="00052415">
        <w:t>c</w:t>
      </w:r>
      <w:proofErr w:type="gramStart"/>
      <w:r w:rsidRPr="00052415">
        <w:t>)ii</w:t>
      </w:r>
      <w:proofErr w:type="gramEnd"/>
      <w:r w:rsidRPr="00052415">
        <w:t>)</w:t>
      </w:r>
      <w:r w:rsidRPr="00052415">
        <w:fldChar w:fldCharType="end"/>
      </w:r>
      <w:r w:rsidRPr="00052415">
        <w:t xml:space="preserve"> and provide intuitive justification for why one is smaller than the other. Describe the effect this can have on inferences.  </w:t>
      </w:r>
    </w:p>
    <w:sectPr w:rsidR="001C1D88" w:rsidRPr="00052415" w:rsidSect="002B6218">
      <w:footerReference w:type="default" r:id="rId4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57D" w:rsidRDefault="00AA157D" w:rsidP="00B720CF">
      <w:r>
        <w:separator/>
      </w:r>
    </w:p>
  </w:endnote>
  <w:endnote w:type="continuationSeparator" w:id="0">
    <w:p w:rsidR="00AA157D" w:rsidRDefault="00AA157D" w:rsidP="00B7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1988663"/>
      <w:docPartObj>
        <w:docPartGallery w:val="Page Numbers (Bottom of Page)"/>
        <w:docPartUnique/>
      </w:docPartObj>
    </w:sdtPr>
    <w:sdtEndPr>
      <w:rPr>
        <w:noProof/>
      </w:rPr>
    </w:sdtEndPr>
    <w:sdtContent>
      <w:p w:rsidR="00B720CF" w:rsidRDefault="00B720CF">
        <w:pPr>
          <w:pStyle w:val="Footer"/>
          <w:jc w:val="right"/>
        </w:pPr>
        <w:r>
          <w:fldChar w:fldCharType="begin"/>
        </w:r>
        <w:r>
          <w:instrText xml:space="preserve"> PAGE   \* MERGEFORMAT </w:instrText>
        </w:r>
        <w:r>
          <w:fldChar w:fldCharType="separate"/>
        </w:r>
        <w:r w:rsidR="00052415">
          <w:rPr>
            <w:noProof/>
          </w:rPr>
          <w:t>3</w:t>
        </w:r>
        <w:r>
          <w:rPr>
            <w:noProof/>
          </w:rPr>
          <w:fldChar w:fldCharType="end"/>
        </w:r>
      </w:p>
    </w:sdtContent>
  </w:sdt>
  <w:p w:rsidR="00B720CF" w:rsidRDefault="00B720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57D" w:rsidRDefault="00AA157D" w:rsidP="00B720CF">
      <w:r>
        <w:separator/>
      </w:r>
    </w:p>
  </w:footnote>
  <w:footnote w:type="continuationSeparator" w:id="0">
    <w:p w:rsidR="00AA157D" w:rsidRDefault="00AA157D" w:rsidP="00B720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320F2"/>
    <w:multiLevelType w:val="hybridMultilevel"/>
    <w:tmpl w:val="EFCA9BCC"/>
    <w:lvl w:ilvl="0" w:tplc="04090011">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56A14A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9E60D1E"/>
    <w:multiLevelType w:val="multilevel"/>
    <w:tmpl w:val="595A2D6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3E0622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2CC5325"/>
    <w:multiLevelType w:val="hybridMultilevel"/>
    <w:tmpl w:val="E93A1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F8131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54FF78FE"/>
    <w:multiLevelType w:val="hybridMultilevel"/>
    <w:tmpl w:val="146276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8D2161C"/>
    <w:multiLevelType w:val="hybridMultilevel"/>
    <w:tmpl w:val="F404FBA4"/>
    <w:lvl w:ilvl="0" w:tplc="923C7398">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6252A24"/>
    <w:multiLevelType w:val="hybridMultilevel"/>
    <w:tmpl w:val="AD16BEF4"/>
    <w:lvl w:ilvl="0" w:tplc="D618E1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0"/>
  </w:num>
  <w:num w:numId="5">
    <w:abstractNumId w:val="1"/>
  </w:num>
  <w:num w:numId="6">
    <w:abstractNumId w:val="4"/>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79"/>
    <w:rsid w:val="000273B8"/>
    <w:rsid w:val="000415B0"/>
    <w:rsid w:val="00052415"/>
    <w:rsid w:val="00091018"/>
    <w:rsid w:val="000E12A5"/>
    <w:rsid w:val="00141062"/>
    <w:rsid w:val="00145D07"/>
    <w:rsid w:val="00147C69"/>
    <w:rsid w:val="001702B7"/>
    <w:rsid w:val="00170BBB"/>
    <w:rsid w:val="00177569"/>
    <w:rsid w:val="0018491E"/>
    <w:rsid w:val="001A03E0"/>
    <w:rsid w:val="001A1FCA"/>
    <w:rsid w:val="001B6779"/>
    <w:rsid w:val="001C1D88"/>
    <w:rsid w:val="00225C7C"/>
    <w:rsid w:val="00240CD1"/>
    <w:rsid w:val="00243FAC"/>
    <w:rsid w:val="00256B96"/>
    <w:rsid w:val="00291017"/>
    <w:rsid w:val="002B0FA2"/>
    <w:rsid w:val="002B6218"/>
    <w:rsid w:val="002D7120"/>
    <w:rsid w:val="002E08CA"/>
    <w:rsid w:val="002E5452"/>
    <w:rsid w:val="00300153"/>
    <w:rsid w:val="00325458"/>
    <w:rsid w:val="00327B7F"/>
    <w:rsid w:val="00333924"/>
    <w:rsid w:val="00362E27"/>
    <w:rsid w:val="00422322"/>
    <w:rsid w:val="00422905"/>
    <w:rsid w:val="0043796A"/>
    <w:rsid w:val="00473EF9"/>
    <w:rsid w:val="00496761"/>
    <w:rsid w:val="004C5422"/>
    <w:rsid w:val="004C7651"/>
    <w:rsid w:val="004E2582"/>
    <w:rsid w:val="004F644B"/>
    <w:rsid w:val="004F6679"/>
    <w:rsid w:val="00512AB7"/>
    <w:rsid w:val="005701CF"/>
    <w:rsid w:val="005857A0"/>
    <w:rsid w:val="00585D95"/>
    <w:rsid w:val="00594896"/>
    <w:rsid w:val="005F471A"/>
    <w:rsid w:val="006058E1"/>
    <w:rsid w:val="00644C3D"/>
    <w:rsid w:val="0066105C"/>
    <w:rsid w:val="00674DBB"/>
    <w:rsid w:val="00677FB6"/>
    <w:rsid w:val="006B055A"/>
    <w:rsid w:val="006E3131"/>
    <w:rsid w:val="00701743"/>
    <w:rsid w:val="00744ECF"/>
    <w:rsid w:val="007476C7"/>
    <w:rsid w:val="00757D7A"/>
    <w:rsid w:val="00773640"/>
    <w:rsid w:val="00775553"/>
    <w:rsid w:val="007A2DC1"/>
    <w:rsid w:val="007C660F"/>
    <w:rsid w:val="007D06CF"/>
    <w:rsid w:val="007D42E4"/>
    <w:rsid w:val="007D52A3"/>
    <w:rsid w:val="007D7C79"/>
    <w:rsid w:val="008048C1"/>
    <w:rsid w:val="00817921"/>
    <w:rsid w:val="0083653C"/>
    <w:rsid w:val="008724E5"/>
    <w:rsid w:val="00874A73"/>
    <w:rsid w:val="0089251A"/>
    <w:rsid w:val="008B52DA"/>
    <w:rsid w:val="008D78FB"/>
    <w:rsid w:val="008E7537"/>
    <w:rsid w:val="009949FD"/>
    <w:rsid w:val="009B4D36"/>
    <w:rsid w:val="009D461C"/>
    <w:rsid w:val="009E369D"/>
    <w:rsid w:val="009F7C42"/>
    <w:rsid w:val="00A107E1"/>
    <w:rsid w:val="00A4487C"/>
    <w:rsid w:val="00A73D84"/>
    <w:rsid w:val="00A829AA"/>
    <w:rsid w:val="00AA157D"/>
    <w:rsid w:val="00AF093C"/>
    <w:rsid w:val="00B04FDE"/>
    <w:rsid w:val="00B16851"/>
    <w:rsid w:val="00B238F3"/>
    <w:rsid w:val="00B277D7"/>
    <w:rsid w:val="00B5057B"/>
    <w:rsid w:val="00B61D0F"/>
    <w:rsid w:val="00B720CF"/>
    <w:rsid w:val="00B77D13"/>
    <w:rsid w:val="00B97552"/>
    <w:rsid w:val="00BE7048"/>
    <w:rsid w:val="00C12962"/>
    <w:rsid w:val="00C44FB0"/>
    <w:rsid w:val="00C6571A"/>
    <w:rsid w:val="00C94906"/>
    <w:rsid w:val="00CA374E"/>
    <w:rsid w:val="00CB1C5E"/>
    <w:rsid w:val="00CF2375"/>
    <w:rsid w:val="00D72530"/>
    <w:rsid w:val="00D76A18"/>
    <w:rsid w:val="00DB2E18"/>
    <w:rsid w:val="00DB6860"/>
    <w:rsid w:val="00DF6AFB"/>
    <w:rsid w:val="00E072D3"/>
    <w:rsid w:val="00E36A4C"/>
    <w:rsid w:val="00E56D65"/>
    <w:rsid w:val="00EB3919"/>
    <w:rsid w:val="00EC2EF2"/>
    <w:rsid w:val="00ED0285"/>
    <w:rsid w:val="00F15AF2"/>
    <w:rsid w:val="00F422AF"/>
    <w:rsid w:val="00F42F2A"/>
    <w:rsid w:val="00F62778"/>
    <w:rsid w:val="00F94C3A"/>
    <w:rsid w:val="00F95A00"/>
    <w:rsid w:val="00FC7D7A"/>
    <w:rsid w:val="00FE0C22"/>
    <w:rsid w:val="00FF1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85898F-D53D-4EC9-8A17-85819176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87C"/>
    <w:pPr>
      <w:spacing w:after="0" w:line="240" w:lineRule="auto"/>
    </w:pPr>
    <w:rPr>
      <w:rFonts w:cs="Times New Roman"/>
      <w:szCs w:val="24"/>
    </w:rPr>
  </w:style>
  <w:style w:type="paragraph" w:styleId="Heading1">
    <w:name w:val="heading 1"/>
    <w:basedOn w:val="Normal"/>
    <w:next w:val="Normal"/>
    <w:link w:val="Heading1Char"/>
    <w:uiPriority w:val="9"/>
    <w:qFormat/>
    <w:rsid w:val="00744ECF"/>
    <w:pPr>
      <w:keepNext/>
      <w:keepLines/>
      <w:spacing w:before="480"/>
      <w:jc w:val="both"/>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12">
    <w:name w:val="R-12"/>
    <w:basedOn w:val="Normal"/>
    <w:qFormat/>
    <w:rsid w:val="005857A0"/>
    <w:pPr>
      <w:ind w:left="720"/>
    </w:pPr>
    <w:rPr>
      <w:rFonts w:ascii="Courier New" w:hAnsi="Courier New"/>
    </w:rPr>
  </w:style>
  <w:style w:type="character" w:customStyle="1" w:styleId="Heading1Char">
    <w:name w:val="Heading 1 Char"/>
    <w:basedOn w:val="DefaultParagraphFont"/>
    <w:link w:val="Heading1"/>
    <w:uiPriority w:val="9"/>
    <w:rsid w:val="00744ECF"/>
    <w:rPr>
      <w:rFonts w:eastAsiaTheme="majorEastAsia" w:cstheme="majorBidi"/>
      <w:b/>
      <w:bCs/>
      <w:szCs w:val="28"/>
    </w:rPr>
  </w:style>
  <w:style w:type="paragraph" w:customStyle="1" w:styleId="R-10">
    <w:name w:val="R-10"/>
    <w:basedOn w:val="Normal"/>
    <w:qFormat/>
    <w:rsid w:val="001A03E0"/>
    <w:pPr>
      <w:ind w:left="720"/>
    </w:pPr>
    <w:rPr>
      <w:rFonts w:ascii="Courier New" w:hAnsi="Courier New"/>
      <w:sz w:val="20"/>
    </w:rPr>
  </w:style>
  <w:style w:type="paragraph" w:customStyle="1" w:styleId="R">
    <w:name w:val="R"/>
    <w:basedOn w:val="Normal"/>
    <w:rsid w:val="00D76A18"/>
    <w:pPr>
      <w:ind w:left="720"/>
    </w:pPr>
    <w:rPr>
      <w:rFonts w:ascii="Courier New" w:hAnsi="Courier New"/>
      <w:color w:val="000000"/>
      <w:sz w:val="20"/>
    </w:rPr>
  </w:style>
  <w:style w:type="character" w:styleId="Hyperlink">
    <w:name w:val="Hyperlink"/>
    <w:basedOn w:val="DefaultParagraphFont"/>
    <w:uiPriority w:val="99"/>
    <w:unhideWhenUsed/>
    <w:rsid w:val="004C7651"/>
    <w:rPr>
      <w:color w:val="0000FF" w:themeColor="hyperlink"/>
      <w:u w:val="single"/>
    </w:rPr>
  </w:style>
  <w:style w:type="character" w:styleId="FollowedHyperlink">
    <w:name w:val="FollowedHyperlink"/>
    <w:basedOn w:val="DefaultParagraphFont"/>
    <w:uiPriority w:val="99"/>
    <w:semiHidden/>
    <w:unhideWhenUsed/>
    <w:rsid w:val="002D7120"/>
    <w:rPr>
      <w:color w:val="800080" w:themeColor="followedHyperlink"/>
      <w:u w:val="single"/>
    </w:rPr>
  </w:style>
  <w:style w:type="paragraph" w:styleId="ListParagraph">
    <w:name w:val="List Paragraph"/>
    <w:basedOn w:val="Normal"/>
    <w:uiPriority w:val="34"/>
    <w:qFormat/>
    <w:rsid w:val="00C6571A"/>
    <w:pPr>
      <w:ind w:left="720"/>
      <w:contextualSpacing/>
    </w:pPr>
  </w:style>
  <w:style w:type="paragraph" w:styleId="Header">
    <w:name w:val="header"/>
    <w:basedOn w:val="Normal"/>
    <w:link w:val="HeaderChar"/>
    <w:uiPriority w:val="99"/>
    <w:unhideWhenUsed/>
    <w:rsid w:val="00B720CF"/>
    <w:pPr>
      <w:tabs>
        <w:tab w:val="center" w:pos="4680"/>
        <w:tab w:val="right" w:pos="9360"/>
      </w:tabs>
    </w:pPr>
  </w:style>
  <w:style w:type="character" w:customStyle="1" w:styleId="HeaderChar">
    <w:name w:val="Header Char"/>
    <w:basedOn w:val="DefaultParagraphFont"/>
    <w:link w:val="Header"/>
    <w:uiPriority w:val="99"/>
    <w:rsid w:val="00B720CF"/>
    <w:rPr>
      <w:rFonts w:cs="Times New Roman"/>
      <w:szCs w:val="24"/>
    </w:rPr>
  </w:style>
  <w:style w:type="paragraph" w:styleId="Footer">
    <w:name w:val="footer"/>
    <w:basedOn w:val="Normal"/>
    <w:link w:val="FooterChar"/>
    <w:uiPriority w:val="99"/>
    <w:unhideWhenUsed/>
    <w:rsid w:val="00B720CF"/>
    <w:pPr>
      <w:tabs>
        <w:tab w:val="center" w:pos="4680"/>
        <w:tab w:val="right" w:pos="9360"/>
      </w:tabs>
    </w:pPr>
  </w:style>
  <w:style w:type="character" w:customStyle="1" w:styleId="FooterChar">
    <w:name w:val="Footer Char"/>
    <w:basedOn w:val="DefaultParagraphFont"/>
    <w:link w:val="Footer"/>
    <w:uiPriority w:val="99"/>
    <w:rsid w:val="00B720C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aid.nih.gov/news/newsreleases/2013/Pages/HVTN505April2013.aspx" TargetMode="External"/><Relationship Id="rId13" Type="http://schemas.openxmlformats.org/officeDocument/2006/relationships/oleObject" Target="embeddings/oleObject1.bin"/><Relationship Id="rId18" Type="http://schemas.openxmlformats.org/officeDocument/2006/relationships/image" Target="media/image2.wmf"/><Relationship Id="rId26" Type="http://schemas.openxmlformats.org/officeDocument/2006/relationships/image" Target="media/image6.wmf"/><Relationship Id="rId39" Type="http://schemas.openxmlformats.org/officeDocument/2006/relationships/oleObject" Target="embeddings/oleObject16.bin"/><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image" Target="media/image10.wmf"/><Relationship Id="rId42" Type="http://schemas.openxmlformats.org/officeDocument/2006/relationships/image" Target="media/image14.wmf"/><Relationship Id="rId7" Type="http://schemas.openxmlformats.org/officeDocument/2006/relationships/hyperlink" Target="http://www.niaid.nih.gov/topics/HIVAIDS/Research/vaccines/clinical/Pages/highlights.aspx" TargetMode="External"/><Relationship Id="rId12" Type="http://schemas.openxmlformats.org/officeDocument/2006/relationships/image" Target="media/image1.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2.wmf"/><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3.w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iaid.nih.gov/topics/HIVAIDS/Research/vaccines/Pages/history.aspx" TargetMode="Externa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15.bin"/><Relationship Id="rId40" Type="http://schemas.openxmlformats.org/officeDocument/2006/relationships/image" Target="media/image13.wmf"/><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image" Target="media/image7.wmf"/><Relationship Id="rId36" Type="http://schemas.openxmlformats.org/officeDocument/2006/relationships/image" Target="media/image11.wmf"/><Relationship Id="rId10" Type="http://schemas.openxmlformats.org/officeDocument/2006/relationships/hyperlink" Target="http://www.nytimes.com/2013/04/26/health/agency-halts-trial-for-aids-vaccine.html" TargetMode="External"/><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iaid.nih.gov/news/QA/Pages/HVTN505qa2013.aspx" TargetMode="External"/><Relationship Id="rId14" Type="http://schemas.openxmlformats.org/officeDocument/2006/relationships/oleObject" Target="embeddings/oleObject2.bin"/><Relationship Id="rId22" Type="http://schemas.openxmlformats.org/officeDocument/2006/relationships/image" Target="media/image4.wmf"/><Relationship Id="rId27" Type="http://schemas.openxmlformats.org/officeDocument/2006/relationships/oleObject" Target="embeddings/oleObject10.bin"/><Relationship Id="rId30" Type="http://schemas.openxmlformats.org/officeDocument/2006/relationships/image" Target="media/image8.wmf"/><Relationship Id="rId35" Type="http://schemas.openxmlformats.org/officeDocument/2006/relationships/oleObject" Target="embeddings/oleObject14.bin"/><Relationship Id="rId43"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7249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Chris2</dc:creator>
  <cp:keywords/>
  <dc:description/>
  <cp:lastModifiedBy>Bilder</cp:lastModifiedBy>
  <cp:revision>4</cp:revision>
  <dcterms:created xsi:type="dcterms:W3CDTF">2014-02-04T18:06:00Z</dcterms:created>
  <dcterms:modified xsi:type="dcterms:W3CDTF">2014-02-04T18:11:00Z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